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BFB1F" w14:textId="77777777" w:rsidR="00833DA1" w:rsidRPr="00833DA1" w:rsidRDefault="00833DA1" w:rsidP="00833DA1">
      <w:pPr>
        <w:pStyle w:val="1"/>
        <w:rPr>
          <w:rFonts w:ascii="Arial" w:hAnsi="Arial" w:cs="Arial"/>
          <w:b w:val="0"/>
          <w:bCs w:val="0"/>
          <w:color w:val="646464"/>
        </w:rPr>
      </w:pPr>
      <w:r>
        <w:t xml:space="preserve">Тема: </w:t>
      </w:r>
      <w:r w:rsidRPr="00833DA1">
        <w:rPr>
          <w:rFonts w:ascii="Arial" w:hAnsi="Arial" w:cs="Arial"/>
          <w:b w:val="0"/>
          <w:bCs w:val="0"/>
          <w:color w:val="646464"/>
        </w:rPr>
        <w:t>Режимы функционирования технических объектов</w:t>
      </w:r>
    </w:p>
    <w:p w14:paraId="4FCD9F57" w14:textId="2FC31B72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зависимости от характера внешних возмущающих и управляющих воздействий технический объект может находиться в установившемся или неустановившемся состоянии. Изменение его состояния выявляется анализом поведения фазовых координат.</w:t>
      </w:r>
    </w:p>
    <w:p w14:paraId="1E66A699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Установившееся состояние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технической системы достигается при неизменных характеристиках внешних воздействий. Если воздействия непрерывно меняются, то состояние системы будет неустановившимся. Режим работы системы при этом называют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динамическим.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Он сопровождается непрерывным изменением фазовых координат, определяющих характер движения системы в динамическом неустановившемся режиме.</w:t>
      </w:r>
    </w:p>
    <w:p w14:paraId="6311F4D3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Характерные примеры установившегося режима —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состояние покоя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состояние равномерного движения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всех элементов технической системы. Такие состояния также называют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статическими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или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равновесными.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Статичность состояния определяется неизменностью реакций взаимодействия всех элементов технической системы при постоянных внешних воздействиях.</w:t>
      </w:r>
    </w:p>
    <w:p w14:paraId="42EA3A2A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Предположим, что на техническую систему, находящуюся в установившемся состоянии равновесия, в некоторый момент времени t0 приложено ступенчатое воздействие вида</w:t>
      </w:r>
    </w:p>
    <w:p w14:paraId="2EC62C3C" w14:textId="59B082B6" w:rsidR="00833DA1" w:rsidRPr="00833DA1" w:rsidRDefault="00833DA1" w:rsidP="00833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D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7D28D3" wp14:editId="64D9D0EB">
            <wp:extent cx="45624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BBE83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где </w:t>
      </w:r>
      <w:proofErr w:type="spell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Fq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- </w:t>
      </w:r>
      <w:proofErr w:type="spell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const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— модуль ступенчатого воздействия;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t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текущее время.</w:t>
      </w:r>
    </w:p>
    <w:p w14:paraId="08E84A5C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Движение системы будет определяться ее внутренними физическими свойствами и внешним воздействием. Пусть состояние технической системы характеризуется фазовой координатой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x(t).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Изменение ее после приложения ступенчатого воздействия можно представить в виде суммы двух составляющих: переходной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n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(t)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 вынужденной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B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(t).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Переходная составляющая устойчивой технической системы с течением времени затухает (стремится к нулю) и система приходит в новое установившееся состояние равновесия, характеризуемое вынужденной составляющей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B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 xml:space="preserve">(t) - 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х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к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= </w:t>
      </w:r>
      <w:proofErr w:type="spell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const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 Следовательно, при приложении ступенчатого воздействия система осуществляет переход из одного установившегося состояния в другое, находясь при этом в течение некоторого времени в динамическом режиме. Такой динамический режим называют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переходным процессом,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а графики изменения фазовых координат системы —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переходными характеристиками.</w:t>
      </w:r>
    </w:p>
    <w:p w14:paraId="527969B0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Если внешние воздействия на систему переменны во времени, то они вызывают в ней непрерывный ряд переходных процессов и состояние системы в течение всего времени наблюдения будет неустановившимся.</w:t>
      </w:r>
    </w:p>
    <w:p w14:paraId="16D85C9B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Переходные процессы возникают также при изменении структуры или параметров технической системы в процессе ее функционирования.</w:t>
      </w:r>
    </w:p>
    <w:p w14:paraId="05656DB8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Если к устойчивой динамической системе, движение которой характеризуется одной из фазовых координат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x(t),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приложить гармоническое внешнее воздействие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F(t),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описываемое выражением</w:t>
      </w:r>
    </w:p>
    <w:p w14:paraId="1F2EE34B" w14:textId="230CA151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549418C4" wp14:editId="2BEC4B2C">
            <wp:extent cx="443865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2779B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где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А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в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 со</w:t>
      </w:r>
      <w:r w:rsidRPr="00833DA1">
        <w:rPr>
          <w:rFonts w:ascii="Arial" w:eastAsia="Times New Roman" w:hAnsi="Arial" w:cs="Arial"/>
          <w:color w:val="646464"/>
          <w:sz w:val="17"/>
          <w:szCs w:val="17"/>
          <w:vertAlign w:val="subscript"/>
          <w:lang w:eastAsia="ru-RU"/>
        </w:rPr>
        <w:t>в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— амплитуда и частота воздействия, то после затухания переходной составляющей </w:t>
      </w:r>
      <w:proofErr w:type="spell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л;</w:t>
      </w:r>
      <w:r w:rsidRPr="00833DA1">
        <w:rPr>
          <w:rFonts w:ascii="Arial" w:eastAsia="Times New Roman" w:hAnsi="Arial" w:cs="Arial"/>
          <w:color w:val="646464"/>
          <w:sz w:val="17"/>
          <w:szCs w:val="17"/>
          <w:vertAlign w:val="subscript"/>
          <w:lang w:eastAsia="ru-RU"/>
        </w:rPr>
        <w:t>п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(?) исследуемой фазовой координаты л;(?) останется вынужденная составляющая ее колебаний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B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{t),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которая будет представлять собой гармоническую функцию</w:t>
      </w:r>
    </w:p>
    <w:p w14:paraId="79435A75" w14:textId="6A5977AB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5087098B" wp14:editId="64F01B70">
            <wp:extent cx="4791075" cy="323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42F3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 частотой со</w:t>
      </w:r>
      <w:r w:rsidRPr="00833DA1">
        <w:rPr>
          <w:rFonts w:ascii="Arial" w:eastAsia="Times New Roman" w:hAnsi="Arial" w:cs="Arial"/>
          <w:color w:val="646464"/>
          <w:sz w:val="17"/>
          <w:szCs w:val="17"/>
          <w:vertAlign w:val="subscript"/>
          <w:lang w:eastAsia="ru-RU"/>
        </w:rPr>
        <w:t>в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внешнего воздействия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F{t)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и </w:t>
      </w:r>
      <w:proofErr w:type="gram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амплитудой</w:t>
      </w:r>
      <w:proofErr w:type="gram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А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х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причем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А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х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=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kA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B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, 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где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k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постоянный коэффициент. Вынужденные колебания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B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(t)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происходят с фазовым сдвигом на угол ф* относительно внешнего воздействия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F(t). 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Таким образом, функции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B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(t)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F(t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) различаются только амплитудами и углом сдвига их фаз. Такое состояние системы также относится к установившемуся, а режим называют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стационарным режимом колебаний.</w:t>
      </w:r>
    </w:p>
    <w:p w14:paraId="13FF3547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Рассмотренные динамические режимы технических объектов являются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модельными.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Они предназначены для проведения сравнительного анализа множества альтернативных вариантов в процессе синтеза. На самом деле в техническом объекте такие режимы в чистом виде практически не встречаются. Однако модельные режимы позволяют значительно облегчить и ускорить решение проектных задач, так как детерминированные модели гораздо проще вероятностных. Получаемая при этом информация об объекте хотя и не претендует на полноту, но оказывается практически полезной. Детерминированное моделирование широко используется на начальных стадиях проектирования. Заключительные стадии проектирования выполняют на вероятностных моделях.</w:t>
      </w:r>
    </w:p>
    <w:p w14:paraId="40ABA5D5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Внешние воздействия реальной среды обитания технической системы описываются случайными функциями, а изменения фазовых координат системы представляют собой случайные процессы. Техническая система в этом случае все время находится в динамическом режиме.</w:t>
      </w:r>
    </w:p>
    <w:p w14:paraId="1405A955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При постоянных характеристиках случайных процессов их называют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стационарными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а при переменных —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нестационарными.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Способы анализа и оценки выходных параметров системы при стационарных и нестационарных случайных процессах различны. В последнем случае они значительно сложнее, чем в первом, поэтому необходимость учета </w:t>
      </w:r>
      <w:proofErr w:type="spell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нестационарности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при моделировании должна быть обоснованной.</w:t>
      </w:r>
    </w:p>
    <w:p w14:paraId="383DEA43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Рассмотрим основные задачи анализа, решаемые при проектировании технических систем. В зависимости от модельного режима, положенного в основу решения конкретной проектной задачи, различают следующие виды анализа: статических состояний; переходных процессов; устойчивости; стационарных режимов колебаний; частотных характеристик; чувствительности; статический.</w:t>
      </w:r>
    </w:p>
    <w:p w14:paraId="3A50D1A6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Анализ статических состояний относится к задачам статики, а остальные виды анализа — к задачам динамики.</w:t>
      </w:r>
    </w:p>
    <w:p w14:paraId="4987A7D1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На макроуровне проектирования исходная математическая модель технического объекта представляет собой систему нелинейных обыкновенных дифференциальных уравнений, которая в нормальной форме Коши имеет вид</w:t>
      </w:r>
    </w:p>
    <w:p w14:paraId="743DE6F2" w14:textId="3AD83804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6785FA60" wp14:editId="6CBD7256">
            <wp:extent cx="4619625" cy="39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1D2F2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где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V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вектор фазовых координат;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U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вектор внешних воздействий;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t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независимая переменная — время.</w:t>
      </w:r>
    </w:p>
    <w:p w14:paraId="5D96394C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Параметры элементов технического объекта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тоже входят в математическую модель (1.7), но только в качестве коэффициентов при переменных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V.</w:t>
      </w:r>
    </w:p>
    <w:p w14:paraId="6720F8F7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Выходные параметры объекта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Y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непосредственно не фигурируют в системе (1.7). Они определяются по результатам решения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V(t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) системы уравнений. Большинство выходных параметров имеют смысл функционалов зависимостей фазовых координат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Y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=Ф [F(f</w:t>
      </w:r>
      <w:proofErr w:type="gram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)]«</w:t>
      </w:r>
      <w:proofErr w:type="gramEnd"/>
    </w:p>
    <w:p w14:paraId="76FC0C32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Функционал представляет собой отображение класса функций в класс чисел. Примеры функционалов: определенные интегралы, экстремальные значения функций, значения функций при заданных значениях аргументов и </w:t>
      </w:r>
      <w:proofErr w:type="gram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т.п.</w:t>
      </w:r>
      <w:proofErr w:type="gramEnd"/>
    </w:p>
    <w:p w14:paraId="3E6CCCA8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Система уравнений (1.7) описывает динамические режимы функционирования технического объекта. Анализ этих режимов заключается в решении системы уравнений (1.7) и последующем определении выходных параметров объекта. Задавая начальные условия </w:t>
      </w:r>
      <w:proofErr w:type="gram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У(</w:t>
      </w:r>
      <w:proofErr w:type="gram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0) =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V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0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находят решения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V(t),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а затем вычисляют значения выходных параметров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Y,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используемых в качестве критериев при оптимизации внутренних параметров объекта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X.</w:t>
      </w:r>
    </w:p>
    <w:p w14:paraId="6EF4117C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Критерии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— это показатели качества и эффективности технического объекта. Их подразделяют на следующие группы: назначения; надежности; экономного использования сырья, материалов, топлива, энергии и трудовых ресурсов (экономические); ограничения вредных воздействий продукции (экологические); безопасности; стандартизации и унификации.</w:t>
      </w:r>
    </w:p>
    <w:p w14:paraId="244FB4B0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Математическая модель в виде (1.7) непосредственно используется при анализе переходных процессов, устойчивости, стационарных режимов колебаний. Эта же модель позволяет решать и задачи анализа статических состояний. Численное решение системы уравнений (1.7) при неизменных внешних воздействиях через конечный отрезок времени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t</w:t>
      </w:r>
      <w:r w:rsidRPr="00833DA1">
        <w:rPr>
          <w:rFonts w:ascii="Arial" w:eastAsia="Times New Roman" w:hAnsi="Arial" w:cs="Arial"/>
          <w:i/>
          <w:iCs/>
          <w:color w:val="646464"/>
          <w:sz w:val="17"/>
          <w:szCs w:val="17"/>
          <w:vertAlign w:val="subscript"/>
          <w:lang w:eastAsia="ru-RU"/>
        </w:rPr>
        <w:t>K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приводит к стационарной точке 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V*,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 в </w:t>
      </w:r>
      <w:proofErr w:type="spell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которой</w:t>
      </w:r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dV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/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dt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= 0. Это и будет точкой решения задачи статики.</w:t>
      </w:r>
    </w:p>
    <w:p w14:paraId="20D39A7B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Математической моделью статических состояний является система алгебраических уравнений. Очевидно, что при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dV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/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dt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 xml:space="preserve"> -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0 система дифференциальных уравнений (1.7) оказывается системой алгебраических уравнений</w:t>
      </w:r>
    </w:p>
    <w:p w14:paraId="70DA32A7" w14:textId="249F8EE0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w:drawing>
          <wp:inline distT="0" distB="0" distL="0" distR="0" wp14:anchorId="19E32FC3" wp14:editId="2AAC0744">
            <wp:extent cx="4191000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25ED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Решение уравнений (1.8), безусловно, проще, однако не всегда процедура перехода от уравнений (1.7) к уравнениям (1.8) тривиальна. Например, для получения математической модели, описывающей состояние покоя технической системы, требуются соответствующие преобразования уравнений, обусловленные необходимостью перехода к геометрическим координатам, определяющим 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пространственное положение элементов системы. Этим и объясняется широкое применение в САПР уравнений (1.7), когда анализ статических состояний лежит в основе технологического маршрута проектирования технического объекта (см. рис. 1.1).</w:t>
      </w:r>
    </w:p>
    <w:p w14:paraId="1B79FFA5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Частотный анализ проводится для определения резонансных режимов, для исследования передачи или преобразования информационных сигналов, представленных в частотной области. Если математическая модель линейная, используют преобразование Фурье и система уравнений (1.7) преобразуется в систему линейных алгебраических уравнений с комплексными переменными, которая затем используется для определения частотных характеристик объекта. Процедура преобразования дифференциальных уравнений в алгебраические называется </w:t>
      </w:r>
      <w:proofErr w:type="spellStart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алгебраизацией</w:t>
      </w:r>
      <w:proofErr w:type="spellEnd"/>
      <w:r w:rsidRPr="00833DA1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 xml:space="preserve"> исходной дифференциальной задачи. </w:t>
      </w: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Но полученная при этом модель тем не менее описывает динамические свойства объекта. При </w:t>
      </w:r>
      <w:proofErr w:type="spellStart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алгебраизации</w:t>
      </w:r>
      <w:proofErr w:type="spellEnd"/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нелинейной системы применяют метод гармонической линеаризации.</w:t>
      </w:r>
    </w:p>
    <w:p w14:paraId="32510AE0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Частотными методами можно также решать задачи анализа устойчивости и стационарных режимов колебаний. Они часто используются на верхнем иерархическом уровне проектирования.</w:t>
      </w:r>
    </w:p>
    <w:p w14:paraId="6A1AF41C" w14:textId="77777777" w:rsidR="00833DA1" w:rsidRPr="00833DA1" w:rsidRDefault="00833DA1" w:rsidP="00833D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3DA1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Анализ чувствительности выполняется для оценки влияния вариации параметров объекта на изменение целевой функции. Сложный технический объект обычно имеет множество внутренних параметров. Решение задачи оптимизации в этом случае вызывает значительные трудности. Вместе с тем не все параметры эффективно изменяют целевую функцию. Поэтому целесообразно их классифицировать и отобрать для оптимизации лишь те параметры, которые оказывают наибольшее влияние на целевую функцию. Такие параметры называют управляемыми. Выбор управляемых параметров осуществляют до решения проектных задач синтеза.</w:t>
      </w:r>
    </w:p>
    <w:sectPr w:rsidR="00833DA1" w:rsidRPr="0083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9"/>
    <w:rsid w:val="001F56A4"/>
    <w:rsid w:val="004358C0"/>
    <w:rsid w:val="005A1CE9"/>
    <w:rsid w:val="00833DA1"/>
    <w:rsid w:val="00B04925"/>
    <w:rsid w:val="00E4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6A1"/>
  <w15:chartTrackingRefBased/>
  <w15:docId w15:val="{BE18232A-F1B3-429B-B56C-7C8753F3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4</cp:revision>
  <dcterms:created xsi:type="dcterms:W3CDTF">2020-11-15T04:20:00Z</dcterms:created>
  <dcterms:modified xsi:type="dcterms:W3CDTF">2020-11-19T01:35:00Z</dcterms:modified>
</cp:coreProperties>
</file>