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B6D2" w14:textId="18376CE7" w:rsidR="00F046EA" w:rsidRPr="00AB5EEF" w:rsidRDefault="009435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B5EEF">
        <w:rPr>
          <w:rFonts w:ascii="Times New Roman" w:hAnsi="Times New Roman" w:cs="Times New Roman"/>
          <w:b/>
          <w:bCs/>
          <w:sz w:val="28"/>
          <w:szCs w:val="28"/>
        </w:rPr>
        <w:t>Тема: Математические модели технических систем. Классификация</w:t>
      </w:r>
    </w:p>
    <w:p w14:paraId="21599962" w14:textId="626098F5" w:rsidR="00943567" w:rsidRDefault="00943567"/>
    <w:p w14:paraId="2ED8DEA6" w14:textId="23F4088F" w:rsidR="00972864" w:rsidRDefault="00972864">
      <w:r>
        <w:rPr>
          <w:noProof/>
        </w:rPr>
        <w:drawing>
          <wp:inline distT="0" distB="0" distL="0" distR="0" wp14:anchorId="635A14A3" wp14:editId="11720C6C">
            <wp:extent cx="5940425" cy="3829050"/>
            <wp:effectExtent l="0" t="0" r="3175" b="0"/>
            <wp:docPr id="1" name="Рисунок 1" descr="Классификация математических мод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математических модел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91CE8" w14:textId="3B93365F" w:rsidR="00F32BDE" w:rsidRDefault="002F4367">
      <w:r>
        <w:rPr>
          <w:rFonts w:ascii="Arial" w:hAnsi="Arial" w:cs="Arial"/>
          <w:color w:val="646464"/>
          <w:sz w:val="23"/>
          <w:szCs w:val="23"/>
        </w:rPr>
        <w:t> Рисунок -Классификация математических моделей (ТО — технический объект; ММ — математическая модель)</w:t>
      </w:r>
    </w:p>
    <w:p w14:paraId="2BF04CB6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b/>
          <w:bCs/>
          <w:color w:val="646464"/>
          <w:sz w:val="23"/>
          <w:szCs w:val="23"/>
        </w:rPr>
        <w:t>По форме представления</w:t>
      </w:r>
      <w:r>
        <w:rPr>
          <w:rFonts w:ascii="Arial" w:hAnsi="Arial" w:cs="Arial"/>
          <w:color w:val="646464"/>
          <w:sz w:val="23"/>
          <w:szCs w:val="23"/>
        </w:rPr>
        <w:t xml:space="preserve"> математических моделей различают инвариантную, алгоритмическую, аналитическую и графическую модели объекта проектирования.</w:t>
      </w:r>
    </w:p>
    <w:p w14:paraId="3CBBBA3C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В </w:t>
      </w: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инвариантной форме</w:t>
      </w:r>
      <w:r>
        <w:rPr>
          <w:rFonts w:ascii="Arial" w:hAnsi="Arial" w:cs="Arial"/>
          <w:color w:val="646464"/>
          <w:sz w:val="23"/>
          <w:szCs w:val="23"/>
        </w:rPr>
        <w:t xml:space="preserve"> математическая модель представляется системой уравнений (дифференциальных, алгебраических) вне связи с методом решения этих уравнений.</w:t>
      </w:r>
    </w:p>
    <w:p w14:paraId="08E45AA7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В </w:t>
      </w: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алгоритмической форме</w:t>
      </w:r>
      <w:r>
        <w:rPr>
          <w:rFonts w:ascii="Arial" w:hAnsi="Arial" w:cs="Arial"/>
          <w:color w:val="646464"/>
          <w:sz w:val="23"/>
          <w:szCs w:val="23"/>
        </w:rPr>
        <w:t xml:space="preserve"> соотношения модели связаны с выбранным численным методом решения и записаны в виде алгоритма — последовательности вычислений.</w:t>
      </w:r>
    </w:p>
    <w:p w14:paraId="3B767DC1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Аналитическая модель</w:t>
      </w:r>
      <w:r>
        <w:rPr>
          <w:rFonts w:ascii="Arial" w:hAnsi="Arial" w:cs="Arial"/>
          <w:color w:val="646464"/>
          <w:sz w:val="23"/>
          <w:szCs w:val="23"/>
        </w:rPr>
        <w:t xml:space="preserve"> представляет собой явные зависимости искомых переменных от </w:t>
      </w:r>
      <w:r w:rsidRPr="00AB5EEF">
        <w:rPr>
          <w:rFonts w:ascii="Arial" w:hAnsi="Arial" w:cs="Arial"/>
          <w:color w:val="646464"/>
          <w:sz w:val="23"/>
          <w:szCs w:val="23"/>
        </w:rPr>
        <w:t>заданных</w:t>
      </w:r>
      <w:r>
        <w:rPr>
          <w:rFonts w:ascii="Arial" w:hAnsi="Arial" w:cs="Arial"/>
          <w:color w:val="646464"/>
          <w:sz w:val="23"/>
          <w:szCs w:val="23"/>
        </w:rPr>
        <w:t xml:space="preserve"> величин (обычно зависимости выходных параметров объекта от внутренних и внешних параметров). Такие модели получают на основе физических законов либо в результате прямого интегрирования исходных дифференциальных уравнений, используя табличные интегралы. К ним относятся также регрессионные модели, получаемые на основе результатов экспериментов.</w:t>
      </w:r>
    </w:p>
    <w:p w14:paraId="4BC31AB9" w14:textId="77777777" w:rsidR="00F32BDE" w:rsidRDefault="00F32BDE" w:rsidP="00F32BDE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Графическая (схемная) модель</w:t>
      </w:r>
      <w:r>
        <w:rPr>
          <w:rFonts w:ascii="Arial" w:hAnsi="Arial" w:cs="Arial"/>
          <w:color w:val="646464"/>
          <w:sz w:val="23"/>
          <w:szCs w:val="23"/>
        </w:rPr>
        <w:t xml:space="preserve"> представляется в виде графа, динамической модели, эквивалентной, функциональной, кинематической и алгоритмической схем, диаграммы, циклограммы и </w:t>
      </w:r>
      <w:proofErr w:type="gramStart"/>
      <w:r>
        <w:rPr>
          <w:rFonts w:ascii="Arial" w:hAnsi="Arial" w:cs="Arial"/>
          <w:color w:val="646464"/>
          <w:sz w:val="23"/>
          <w:szCs w:val="23"/>
        </w:rPr>
        <w:t>т.п.</w:t>
      </w:r>
      <w:proofErr w:type="gramEnd"/>
      <w:r>
        <w:rPr>
          <w:rFonts w:ascii="Arial" w:hAnsi="Arial" w:cs="Arial"/>
          <w:color w:val="646464"/>
          <w:sz w:val="23"/>
          <w:szCs w:val="23"/>
        </w:rPr>
        <w:t xml:space="preserve"> Для использования графических моделей должно существовать правило однозначного соответствия условных изображений элементов графической и компонентов инвариантной математических моделей.</w:t>
      </w:r>
    </w:p>
    <w:p w14:paraId="7BF06C55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b/>
          <w:bCs/>
          <w:color w:val="646464"/>
          <w:sz w:val="23"/>
          <w:szCs w:val="23"/>
        </w:rPr>
        <w:t>Деление математических моделей на функциональные и структурные</w:t>
      </w:r>
      <w:r>
        <w:rPr>
          <w:rFonts w:ascii="Arial" w:hAnsi="Arial" w:cs="Arial"/>
          <w:color w:val="646464"/>
          <w:sz w:val="23"/>
          <w:szCs w:val="23"/>
        </w:rPr>
        <w:t xml:space="preserve"> определяется характером отображаемых свойств технического объекта.</w:t>
      </w:r>
    </w:p>
    <w:p w14:paraId="51790033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lastRenderedPageBreak/>
        <w:t>Структурные модели</w:t>
      </w:r>
      <w:r>
        <w:rPr>
          <w:rFonts w:ascii="Arial" w:hAnsi="Arial" w:cs="Arial"/>
          <w:color w:val="646464"/>
          <w:sz w:val="23"/>
          <w:szCs w:val="23"/>
        </w:rPr>
        <w:t> отображают только структуру объектов и используются при решении задач структурного синтеза. Параметрами структурных моделей являются признаки функциональных или конструктивных элементов, из которых состоит технический объект и по которым один вариант структуры объекта отличается от другого. Эти параметры называют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морфологическими переменными.</w:t>
      </w:r>
      <w:r>
        <w:rPr>
          <w:rFonts w:ascii="Arial" w:hAnsi="Arial" w:cs="Arial"/>
          <w:color w:val="646464"/>
          <w:sz w:val="23"/>
          <w:szCs w:val="23"/>
        </w:rPr>
        <w:t xml:space="preserve"> Структурные модели имеют форму таблиц, матриц и графов. Наиболее перспективно применение древовидных графов типа И-ИЛИ-дерева. Они позволяют аккумулировать накопленный опыт, используя описания всех существующих аналогов, известных из патентной литературы и гипотетических объектов. Такие модели наиболее широко используют на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метауровне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при выборе технического решения.</w:t>
      </w:r>
    </w:p>
    <w:p w14:paraId="2A09802B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Функциональные модели</w:t>
      </w:r>
      <w:r>
        <w:rPr>
          <w:rFonts w:ascii="Arial" w:hAnsi="Arial" w:cs="Arial"/>
          <w:color w:val="646464"/>
          <w:sz w:val="23"/>
          <w:szCs w:val="23"/>
        </w:rPr>
        <w:t xml:space="preserve"> описывают процессы функционирования технических объектов и имеют форму систем уравнений. Они учитывают структурные и функциональные свойства объекта и позволяют решать задачи как параметрического, так и структурного синтеза. Их широко используют на всех иерархических уровнях, стадиях и этапах, при функциональном, конструкторском и технологическом проектировании. На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метауровне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функциональные модели позволяют решать задачи прогнозирования, на макроуровне — выбора структуры и оптимизации внутренних параметров технического объекта, на микроуровне — оптимизации параметров базовых элементов и несущих конструкций.</w:t>
      </w:r>
    </w:p>
    <w:p w14:paraId="5D8EDB5A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b/>
          <w:bCs/>
          <w:color w:val="646464"/>
          <w:sz w:val="23"/>
          <w:szCs w:val="23"/>
        </w:rPr>
        <w:t xml:space="preserve">В зависимости от степени абстрагирования при описании физических свойств технической системы </w:t>
      </w:r>
      <w:r>
        <w:rPr>
          <w:rFonts w:ascii="Arial" w:hAnsi="Arial" w:cs="Arial"/>
          <w:color w:val="646464"/>
          <w:sz w:val="23"/>
          <w:szCs w:val="23"/>
        </w:rPr>
        <w:t xml:space="preserve">различают три основных иерархических уровня: верхний, или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метауровень</w:t>
      </w:r>
      <w:proofErr w:type="spellEnd"/>
      <w:r>
        <w:rPr>
          <w:rFonts w:ascii="Arial" w:hAnsi="Arial" w:cs="Arial"/>
          <w:color w:val="646464"/>
          <w:sz w:val="23"/>
          <w:szCs w:val="23"/>
        </w:rPr>
        <w:t>; средний, или макроуровень; нижний, или микроуровень.</w:t>
      </w:r>
    </w:p>
    <w:p w14:paraId="4C81F485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proofErr w:type="spellStart"/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Метауровенъ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соответствует начальным стадиям проектирования, на которых осуществляется научно-технический поиск и прогнозирование, разработка концепции и технического решения, разработка технического предложения. Для построения математических моделей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метауровня</w:t>
      </w:r>
      <w:proofErr w:type="spellEnd"/>
      <w:r>
        <w:rPr>
          <w:rFonts w:ascii="Arial" w:hAnsi="Arial" w:cs="Arial"/>
          <w:color w:val="646464"/>
          <w:sz w:val="23"/>
          <w:szCs w:val="23"/>
        </w:rPr>
        <w:t xml:space="preserve"> используют методы морфологического синтеза, теории графов, математической логики, теории автоматического управления, теории массового обслуживания, теории конечных автоматов.</w:t>
      </w:r>
    </w:p>
    <w:p w14:paraId="308E7094" w14:textId="77777777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На </w:t>
      </w: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макроуровне</w:t>
      </w:r>
      <w:r>
        <w:rPr>
          <w:rFonts w:ascii="Arial" w:hAnsi="Arial" w:cs="Arial"/>
          <w:color w:val="646464"/>
          <w:sz w:val="23"/>
          <w:szCs w:val="23"/>
        </w:rPr>
        <w:t xml:space="preserve"> объект проектирования рассматривают как динамическую систему с сосредоточенными параметрами. Математические модели макроуровня представляют собой системы обыкновенных дифференциальных уравнений. Эти модели используют при определении параметров технического объекта и его функциональных элементов.</w:t>
      </w:r>
    </w:p>
    <w:p w14:paraId="6381A492" w14:textId="16484B86" w:rsidR="0060234D" w:rsidRDefault="0060234D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На </w:t>
      </w:r>
      <w:r w:rsidRPr="00AB5EEF">
        <w:rPr>
          <w:rFonts w:ascii="Arial" w:hAnsi="Arial" w:cs="Arial"/>
          <w:color w:val="646464"/>
          <w:sz w:val="23"/>
          <w:szCs w:val="23"/>
        </w:rPr>
        <w:t xml:space="preserve">микроуровне </w:t>
      </w:r>
      <w:r>
        <w:rPr>
          <w:rFonts w:ascii="Arial" w:hAnsi="Arial" w:cs="Arial"/>
          <w:color w:val="646464"/>
          <w:sz w:val="23"/>
          <w:szCs w:val="23"/>
        </w:rPr>
        <w:t>объект представляется как сплошная среда с распределенными параметрами. Для описания процессов функционирования таких объектов используют дифференциальные уравнения в частных производных. На микроуровне проектируют неделимые по функциональному признаку элементы технической системы, называемые базовыми элементами. Примерами таких элементов являются рамы, панели, корпусные детали, валы, дис</w:t>
      </w:r>
      <w:r w:rsidR="002F4367">
        <w:rPr>
          <w:rFonts w:ascii="Arial" w:hAnsi="Arial" w:cs="Arial"/>
          <w:color w:val="646464"/>
          <w:sz w:val="23"/>
          <w:szCs w:val="23"/>
        </w:rPr>
        <w:t xml:space="preserve">ки фрикционных механизмов и др. Проектирование их основано на анализе сложнонапряженного состояния. </w:t>
      </w:r>
    </w:p>
    <w:p w14:paraId="714E5B43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b/>
          <w:bCs/>
          <w:color w:val="646464"/>
          <w:sz w:val="23"/>
          <w:szCs w:val="23"/>
        </w:rPr>
        <w:t>По способам получения</w:t>
      </w:r>
      <w:r>
        <w:rPr>
          <w:rFonts w:ascii="Arial" w:hAnsi="Arial" w:cs="Arial"/>
          <w:color w:val="646464"/>
          <w:sz w:val="23"/>
          <w:szCs w:val="23"/>
        </w:rPr>
        <w:t xml:space="preserve"> функциональные математические модели делятся на теоретические и экспериментальные.</w:t>
      </w:r>
    </w:p>
    <w:p w14:paraId="6610198A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Теоретические модели</w:t>
      </w:r>
      <w:r>
        <w:rPr>
          <w:rFonts w:ascii="Arial" w:hAnsi="Arial" w:cs="Arial"/>
          <w:color w:val="646464"/>
          <w:sz w:val="23"/>
          <w:szCs w:val="23"/>
        </w:rPr>
        <w:t> получают на основе описания физических процессов функционирования объекта, а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экспериментальные</w:t>
      </w:r>
      <w:r>
        <w:rPr>
          <w:rFonts w:ascii="Arial" w:hAnsi="Arial" w:cs="Arial"/>
          <w:color w:val="646464"/>
          <w:sz w:val="23"/>
          <w:szCs w:val="23"/>
        </w:rPr>
        <w:t> — на основе изучения поведения объекта во внешней среде, рассматривая его как кибернетический «черный ящик». Эксперименты при этом могут быть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физические</w:t>
      </w:r>
      <w:r>
        <w:rPr>
          <w:rFonts w:ascii="Arial" w:hAnsi="Arial" w:cs="Arial"/>
          <w:color w:val="646464"/>
          <w:sz w:val="23"/>
          <w:szCs w:val="23"/>
        </w:rPr>
        <w:t xml:space="preserve"> (на техническом объекте или его </w:t>
      </w:r>
      <w:r>
        <w:rPr>
          <w:rFonts w:ascii="Arial" w:hAnsi="Arial" w:cs="Arial"/>
          <w:color w:val="646464"/>
          <w:sz w:val="23"/>
          <w:szCs w:val="23"/>
        </w:rPr>
        <w:lastRenderedPageBreak/>
        <w:t>физической модели) или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вычислительные</w:t>
      </w:r>
      <w:r>
        <w:rPr>
          <w:rFonts w:ascii="Arial" w:hAnsi="Arial" w:cs="Arial"/>
          <w:color w:val="646464"/>
          <w:sz w:val="23"/>
          <w:szCs w:val="23"/>
        </w:rPr>
        <w:t> (на теоретической математической модели).</w:t>
      </w:r>
    </w:p>
    <w:p w14:paraId="12B0BB3F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При построении теоретических моделей используют физический и формальный подходы.</w:t>
      </w:r>
    </w:p>
    <w:p w14:paraId="210C19E2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Физический подход</w:t>
      </w:r>
      <w:r>
        <w:rPr>
          <w:rFonts w:ascii="Arial" w:hAnsi="Arial" w:cs="Arial"/>
          <w:color w:val="646464"/>
          <w:sz w:val="23"/>
          <w:szCs w:val="23"/>
        </w:rPr>
        <w:t> сводится к непосредственному применению физических законов для описания объектов, например законов Ньютона, Гука, Кирхгофа, Фурье и др.</w:t>
      </w:r>
    </w:p>
    <w:p w14:paraId="6849BD34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Формальный подход</w:t>
      </w:r>
      <w:r>
        <w:rPr>
          <w:rFonts w:ascii="Arial" w:hAnsi="Arial" w:cs="Arial"/>
          <w:color w:val="646464"/>
          <w:sz w:val="23"/>
          <w:szCs w:val="23"/>
        </w:rPr>
        <w:t> использует общие математические принципы и применяется при построении как теоретических, так и экспериментальных моделей.</w:t>
      </w:r>
    </w:p>
    <w:p w14:paraId="5B20860E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 w:rsidRPr="00AB5EEF">
        <w:rPr>
          <w:rFonts w:ascii="Arial" w:hAnsi="Arial" w:cs="Arial"/>
          <w:i/>
          <w:iCs/>
          <w:color w:val="646464"/>
          <w:sz w:val="23"/>
          <w:szCs w:val="23"/>
        </w:rPr>
        <w:t>Экспериментальные модели</w:t>
      </w:r>
      <w:r>
        <w:rPr>
          <w:rFonts w:ascii="Arial" w:hAnsi="Arial" w:cs="Arial"/>
          <w:color w:val="646464"/>
          <w:sz w:val="23"/>
          <w:szCs w:val="23"/>
        </w:rPr>
        <w:t xml:space="preserve"> — формальные. Они не учитывают всего комплекса физических свойств элементов исследуемой технической системы, а лишь устанавливают обнаруживаемую в процессе эксперимента связь между отдельными параметрами системы, которые удается варьировать и (или) осуществлять их измерение. Варьируемые параметры при этом называют факторами. Такие модели дают адекватное описание исследуемых процессов лишь в ограниченной области факторного пространства, в которой осуществлялось варьирование факторов в эксперименте. Поэтому экспериментальные математические модели носят частный характер, в то время как физические законы отражают общие закономерности явлений и процессов, протекающих как во всей технической системе, так и в каждом ее элементе в отдельности. Следовательно, экспериментальные факторные модели не могут быть приняты в качестве физических законов. Вместе с тем методы, применяемые для построения этих моделей (метод статистических испытаний, регрессионный анализ, корреляционный анализ, планирование эксперимента и др.), широко используются при проверке научных гипотез.</w:t>
      </w:r>
    </w:p>
    <w:p w14:paraId="75C65202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Функциональные математические модели могут быть линейные и нелинейные.</w:t>
      </w:r>
    </w:p>
    <w:p w14:paraId="54451FB2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i/>
          <w:iCs/>
          <w:color w:val="646464"/>
          <w:sz w:val="23"/>
          <w:szCs w:val="23"/>
        </w:rPr>
        <w:t>Линейные модели</w:t>
      </w:r>
      <w:r>
        <w:rPr>
          <w:rFonts w:ascii="Arial" w:hAnsi="Arial" w:cs="Arial"/>
          <w:color w:val="646464"/>
          <w:sz w:val="23"/>
          <w:szCs w:val="23"/>
        </w:rPr>
        <w:t> содержат только линейные функции фазовых переменных и их производных. Характеристики многих элементов реальных технических объектов нелинейные. Математические модели таких объектов включают нелинейные функции фазовых переменных и (или) их производных и относятся к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нелинейным.</w:t>
      </w:r>
    </w:p>
    <w:p w14:paraId="7ADDCB00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 xml:space="preserve">С целью упрощения задач проектирования на высших иерархических уровнях используют простые линейные модели. Если описание технического объекта представлено системой линейных обыкновенных дифференциальных уравнений, то, применяя преобразование Лапласа, ее можно привести к системе алгебраических уравнений с комплексными переменными, решение которой значительно проще, чем исходной системы дифференциальных уравнений. Такой подход используется для построения математических моделей на </w:t>
      </w:r>
      <w:proofErr w:type="spellStart"/>
      <w:r>
        <w:rPr>
          <w:rFonts w:ascii="Arial" w:hAnsi="Arial" w:cs="Arial"/>
          <w:color w:val="646464"/>
          <w:sz w:val="23"/>
          <w:szCs w:val="23"/>
        </w:rPr>
        <w:t>метауровне</w:t>
      </w:r>
      <w:proofErr w:type="spellEnd"/>
      <w:r>
        <w:rPr>
          <w:rFonts w:ascii="Arial" w:hAnsi="Arial" w:cs="Arial"/>
          <w:color w:val="646464"/>
          <w:sz w:val="23"/>
          <w:szCs w:val="23"/>
        </w:rPr>
        <w:t>. В моделях макроуровня следует учитывать нелинейные свойства технического объекта.</w:t>
      </w:r>
    </w:p>
    <w:p w14:paraId="29C1A8F3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Если при моделировании учитываются инерционные свойства технического объекта и (или) изменение во времени параметров объекта или внешней среды, то модель называют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динамической.</w:t>
      </w:r>
      <w:r>
        <w:rPr>
          <w:rFonts w:ascii="Arial" w:hAnsi="Arial" w:cs="Arial"/>
          <w:color w:val="646464"/>
          <w:sz w:val="23"/>
          <w:szCs w:val="23"/>
        </w:rPr>
        <w:t> В противном случае модель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статическая.</w:t>
      </w:r>
      <w:r>
        <w:rPr>
          <w:rFonts w:ascii="Arial" w:hAnsi="Arial" w:cs="Arial"/>
          <w:color w:val="646464"/>
          <w:sz w:val="23"/>
          <w:szCs w:val="23"/>
        </w:rPr>
        <w:t xml:space="preserve"> Выбор динамической или статической модели определяется режимом работы технического объекта, положенным в основу проводимой процедуры анализа в маршруте проектирования. Большинство задач функционального проектирования требует использования динамических моделей. При конструкторском проектировании часто применяют статические модели, а динамические эффекты процесса функционирования объекта учитывают при формировании нагрузочных </w:t>
      </w:r>
      <w:r>
        <w:rPr>
          <w:rFonts w:ascii="Arial" w:hAnsi="Arial" w:cs="Arial"/>
          <w:color w:val="646464"/>
          <w:sz w:val="23"/>
          <w:szCs w:val="23"/>
        </w:rPr>
        <w:lastRenderedPageBreak/>
        <w:t>характеристик посредством коэффициентов динамичности, определяемых в процессе функционального проектирования.</w:t>
      </w:r>
    </w:p>
    <w:p w14:paraId="057B4620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Математическое представление динамической модели в общем случае может быть выражено системой дифференциальных уравнений, астатической — системой алгебраических уравнений. Динамическая модель может также представлять собой интегральные уравнения, передаточные функции, а в аналитической форме — явные зависимости фазовых координат или выходных параметров технического объекта от времени.</w:t>
      </w:r>
    </w:p>
    <w:p w14:paraId="653DF6EA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Воздействия внешней среды на технический объект носят случайный характер и описываются случайными функциями. При проектировании также учитывается случайный разброс параметров элементов объекта, обусловленный технологическим процессом изготовления. Все процессы, происходящие в объекте, также случайны и могут быть оценены вероятностными и статистическими характеристиками: вероятностью выполнения тех или иных требований, корреляционной функцией, спектральной плотностью, математическим ожиданием, дисперсией и др. Анализ функционирования объекта в этом случае требует построения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вероятностной математической модели.</w:t>
      </w:r>
      <w:r>
        <w:rPr>
          <w:rFonts w:ascii="Arial" w:hAnsi="Arial" w:cs="Arial"/>
          <w:color w:val="646464"/>
          <w:sz w:val="23"/>
          <w:szCs w:val="23"/>
        </w:rPr>
        <w:t> Однако такая модель весьма сложная и ее использование при проектировании требует больших затрат машинного времени. Поэтому ее применяют чаще на заключительном этапе проектирования.</w:t>
      </w:r>
    </w:p>
    <w:p w14:paraId="15365F2E" w14:textId="77777777" w:rsidR="002F4367" w:rsidRDefault="002F4367" w:rsidP="002F4367">
      <w:pPr>
        <w:pStyle w:val="a3"/>
        <w:rPr>
          <w:rFonts w:ascii="Arial" w:hAnsi="Arial" w:cs="Arial"/>
          <w:color w:val="646464"/>
          <w:sz w:val="23"/>
          <w:szCs w:val="23"/>
        </w:rPr>
      </w:pPr>
      <w:r>
        <w:rPr>
          <w:rFonts w:ascii="Arial" w:hAnsi="Arial" w:cs="Arial"/>
          <w:color w:val="646464"/>
          <w:sz w:val="23"/>
          <w:szCs w:val="23"/>
        </w:rPr>
        <w:t>Большинство проектных процедур выполняется на детерминированных моделях. </w:t>
      </w:r>
      <w:r>
        <w:rPr>
          <w:rFonts w:ascii="Arial" w:hAnsi="Arial" w:cs="Arial"/>
          <w:i/>
          <w:iCs/>
          <w:color w:val="646464"/>
          <w:sz w:val="23"/>
          <w:szCs w:val="23"/>
        </w:rPr>
        <w:t>Детерминированная математическая модель</w:t>
      </w:r>
      <w:r>
        <w:rPr>
          <w:rFonts w:ascii="Arial" w:hAnsi="Arial" w:cs="Arial"/>
          <w:color w:val="646464"/>
          <w:sz w:val="23"/>
          <w:szCs w:val="23"/>
        </w:rPr>
        <w:t> характеризуется взаимно однозначным соответствием между внешним воздействием на динамическую систему и ее реакцией на это воздействие. В вычислительном эксперименте при проектировании обычно задают некоторые стандартные типовые воздействия на объект: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ступенчатые, импульсные, гармонические, кусочно-линейные, экспоненциальные</w:t>
      </w:r>
      <w:r>
        <w:rPr>
          <w:rFonts w:ascii="Arial" w:hAnsi="Arial" w:cs="Arial"/>
          <w:color w:val="646464"/>
          <w:sz w:val="23"/>
          <w:szCs w:val="23"/>
        </w:rPr>
        <w:t> и др. Их называют </w:t>
      </w:r>
      <w:r>
        <w:rPr>
          <w:rFonts w:ascii="Arial" w:hAnsi="Arial" w:cs="Arial"/>
          <w:i/>
          <w:iCs/>
          <w:color w:val="646464"/>
          <w:sz w:val="23"/>
          <w:szCs w:val="23"/>
        </w:rPr>
        <w:t>тестовыми воздействиями.</w:t>
      </w:r>
    </w:p>
    <w:p w14:paraId="36896AD0" w14:textId="77777777" w:rsidR="002F4367" w:rsidRDefault="002F4367" w:rsidP="0060234D">
      <w:pPr>
        <w:pStyle w:val="a3"/>
        <w:rPr>
          <w:rFonts w:ascii="Arial" w:hAnsi="Arial" w:cs="Arial"/>
          <w:color w:val="646464"/>
          <w:sz w:val="23"/>
          <w:szCs w:val="23"/>
        </w:rPr>
      </w:pPr>
    </w:p>
    <w:p w14:paraId="5928F807" w14:textId="77777777" w:rsidR="00F32BDE" w:rsidRDefault="00F32BDE"/>
    <w:sectPr w:rsidR="00F3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55"/>
    <w:rsid w:val="001041D7"/>
    <w:rsid w:val="001F56A4"/>
    <w:rsid w:val="002F4367"/>
    <w:rsid w:val="004358C0"/>
    <w:rsid w:val="0060234D"/>
    <w:rsid w:val="00943567"/>
    <w:rsid w:val="00972864"/>
    <w:rsid w:val="00AB4655"/>
    <w:rsid w:val="00AB5EEF"/>
    <w:rsid w:val="00F3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4B94"/>
  <w15:chartTrackingRefBased/>
  <w15:docId w15:val="{6B97A7AC-FB97-4546-987A-1F896A99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2</cp:revision>
  <dcterms:created xsi:type="dcterms:W3CDTF">2021-11-02T08:47:00Z</dcterms:created>
  <dcterms:modified xsi:type="dcterms:W3CDTF">2021-11-02T08:47:00Z</dcterms:modified>
</cp:coreProperties>
</file>