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534" w:rsidRDefault="00ED528D" w:rsidP="006E1C19">
      <w:pPr>
        <w:spacing w:after="0" w:line="330" w:lineRule="atLeast"/>
        <w:ind w:firstLine="480"/>
        <w:textAlignment w:val="baseline"/>
        <w:rPr>
          <w:rFonts w:ascii="Times New Roman" w:hAnsi="Times New Roman" w:cs="Times New Roman"/>
          <w:b/>
          <w:sz w:val="28"/>
          <w:szCs w:val="28"/>
        </w:rPr>
      </w:pPr>
      <w:r w:rsidRPr="00C26534">
        <w:rPr>
          <w:rFonts w:ascii="Times New Roman" w:hAnsi="Times New Roman" w:cs="Times New Roman"/>
          <w:b/>
          <w:sz w:val="28"/>
          <w:szCs w:val="28"/>
        </w:rPr>
        <w:t>8. Структура технического регламента</w:t>
      </w:r>
    </w:p>
    <w:p w:rsidR="00C26534" w:rsidRDefault="00C26534" w:rsidP="006E1C19">
      <w:pPr>
        <w:spacing w:after="0" w:line="330" w:lineRule="atLeast"/>
        <w:ind w:firstLine="480"/>
        <w:textAlignment w:val="baseline"/>
        <w:rPr>
          <w:rFonts w:ascii="Times New Roman" w:hAnsi="Times New Roman" w:cs="Times New Roman"/>
          <w:b/>
          <w:sz w:val="28"/>
          <w:szCs w:val="28"/>
        </w:rPr>
      </w:pP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t>В технический регламент в общем случае рекомендуется включать структурные элементы, отражающие следующие вопросы:</w:t>
      </w:r>
      <w:r w:rsidRPr="00C26534">
        <w:rPr>
          <w:color w:val="444444"/>
          <w:sz w:val="28"/>
          <w:szCs w:val="28"/>
        </w:rPr>
        <w:br/>
      </w: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t>- объекты технического регулирования;</w:t>
      </w:r>
      <w:r w:rsidRPr="00C26534">
        <w:rPr>
          <w:color w:val="444444"/>
          <w:sz w:val="28"/>
          <w:szCs w:val="28"/>
        </w:rPr>
        <w:br/>
      </w: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t>- терминология;</w:t>
      </w:r>
      <w:r w:rsidRPr="00C26534">
        <w:rPr>
          <w:color w:val="444444"/>
          <w:sz w:val="28"/>
          <w:szCs w:val="28"/>
        </w:rPr>
        <w:br/>
      </w: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t>- общее положение для размещения на рынке;</w:t>
      </w:r>
      <w:r w:rsidRPr="00C26534">
        <w:rPr>
          <w:color w:val="444444"/>
          <w:sz w:val="28"/>
          <w:szCs w:val="28"/>
        </w:rPr>
        <w:br/>
      </w: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t>- требования безопасности;</w:t>
      </w:r>
      <w:r w:rsidRPr="00C26534">
        <w:rPr>
          <w:color w:val="444444"/>
          <w:sz w:val="28"/>
          <w:szCs w:val="28"/>
        </w:rPr>
        <w:br/>
      </w: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t>- положение о свободном перемещении;</w:t>
      </w:r>
      <w:r w:rsidRPr="00C26534">
        <w:rPr>
          <w:color w:val="444444"/>
          <w:sz w:val="28"/>
          <w:szCs w:val="28"/>
        </w:rPr>
        <w:br/>
      </w: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t>- подтверждение соответствия;</w:t>
      </w:r>
      <w:r w:rsidRPr="00C26534">
        <w:rPr>
          <w:color w:val="444444"/>
          <w:sz w:val="28"/>
          <w:szCs w:val="28"/>
        </w:rPr>
        <w:br/>
      </w: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t>- оценка соответствия;</w:t>
      </w:r>
      <w:r w:rsidRPr="00C26534">
        <w:rPr>
          <w:color w:val="444444"/>
          <w:sz w:val="28"/>
          <w:szCs w:val="28"/>
        </w:rPr>
        <w:br/>
      </w: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t>- управление перечнем стандартов;</w:t>
      </w:r>
      <w:r w:rsidRPr="00C26534">
        <w:rPr>
          <w:color w:val="444444"/>
          <w:sz w:val="28"/>
          <w:szCs w:val="28"/>
        </w:rPr>
        <w:br/>
      </w: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t>- контроль и надзор на рынке;</w:t>
      </w:r>
      <w:r w:rsidRPr="00C26534">
        <w:rPr>
          <w:color w:val="444444"/>
          <w:sz w:val="28"/>
          <w:szCs w:val="28"/>
        </w:rPr>
        <w:br/>
      </w: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t>- назначение федерального органа исполнительной власти, ответственного за реализацию технического регламента;</w:t>
      </w:r>
      <w:r w:rsidRPr="00C26534">
        <w:rPr>
          <w:color w:val="444444"/>
          <w:sz w:val="28"/>
          <w:szCs w:val="28"/>
        </w:rPr>
        <w:br/>
      </w: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t>- переходный период.</w:t>
      </w:r>
      <w:r w:rsidRPr="00C26534">
        <w:rPr>
          <w:color w:val="444444"/>
          <w:sz w:val="28"/>
          <w:szCs w:val="28"/>
        </w:rPr>
        <w:br/>
      </w:r>
    </w:p>
    <w:p w:rsidR="00ED528D" w:rsidRPr="00C26534" w:rsidRDefault="00C26534" w:rsidP="006E1C19">
      <w:pPr>
        <w:pStyle w:val="formattext"/>
        <w:spacing w:before="0" w:beforeAutospacing="0" w:after="0" w:afterAutospacing="0"/>
        <w:ind w:firstLine="480"/>
        <w:textAlignment w:val="baseline"/>
        <w:rPr>
          <w:color w:val="444444"/>
          <w:sz w:val="28"/>
          <w:szCs w:val="28"/>
        </w:rPr>
      </w:pPr>
      <w:r>
        <w:rPr>
          <w:color w:val="444444"/>
          <w:sz w:val="28"/>
          <w:szCs w:val="28"/>
        </w:rPr>
        <w:t>1</w:t>
      </w:r>
      <w:r w:rsidR="00ED528D" w:rsidRPr="00C26534">
        <w:rPr>
          <w:color w:val="444444"/>
          <w:sz w:val="28"/>
          <w:szCs w:val="28"/>
        </w:rPr>
        <w:t xml:space="preserve"> Объекты технического регулирования</w:t>
      </w:r>
      <w:r w:rsidR="00ED528D" w:rsidRPr="00C26534">
        <w:rPr>
          <w:color w:val="444444"/>
          <w:sz w:val="28"/>
          <w:szCs w:val="28"/>
        </w:rPr>
        <w:br/>
      </w:r>
    </w:p>
    <w:p w:rsidR="006E1C19"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t>В соответствующем разделе технического регламента устанавливается перечень объектов технического регулирования, на которые он распространяется. Этот перечень может быть достаточно большим.</w:t>
      </w: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t>При определении перечня продукции допускается делать исключения для ее конкретных видов (подклассов или подгрупп), на которые из всего класса или группы действие конкретного технического регламента не распространяется. Также устанавливается степень рисков или опасностей, которых изготовитель должен избежать.</w:t>
      </w: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t xml:space="preserve">Требования общего технического регламента обязательны для применения и соблюдения в отношении любых видов продукции, процессов производства, эксплуатации, хранения, перевозки, реализации и утилизации. Поэтому общие технические регламенты должны в большей степени предъявлять требования к воздействующим на человека, животных, растения и окружающую среду факторам безопасности. Например, электромагнитная совместимость, экологические факторы. Но они должны быть выражены </w:t>
      </w:r>
      <w:r w:rsidRPr="00C26534">
        <w:rPr>
          <w:color w:val="444444"/>
          <w:sz w:val="28"/>
          <w:szCs w:val="28"/>
        </w:rPr>
        <w:lastRenderedPageBreak/>
        <w:t>через общие требования ко всем или наиболее широким группам продукции и процессов производства, которые являются источником этих факторов (например, эксплуатация зданий и сооружений, пожарная безопасность). Ясно, что требования по пожарной безопасности могут быть предъявлены только к тем объектам, которые могут быть потенциальными источниками такой опасности. Однако возможно изложение требований к воздействующим факторам в нескольких общих технических регламентах в отношении различных объектов воздействия (например, радиационное воздействие на человека, на имущество, на окружающую среду), если необходимые требования нецелесообразно или невозможно установить в одном общем техническом регламенте.</w:t>
      </w:r>
      <w:r w:rsidRPr="00C26534">
        <w:rPr>
          <w:color w:val="444444"/>
          <w:sz w:val="28"/>
          <w:szCs w:val="28"/>
        </w:rPr>
        <w:br/>
      </w:r>
    </w:p>
    <w:p w:rsidR="00ED528D" w:rsidRPr="00C26534" w:rsidRDefault="006E1C19" w:rsidP="006E1C19">
      <w:pPr>
        <w:pStyle w:val="formattext"/>
        <w:spacing w:before="0" w:beforeAutospacing="0" w:after="0" w:afterAutospacing="0"/>
        <w:ind w:firstLine="480"/>
        <w:textAlignment w:val="baseline"/>
        <w:rPr>
          <w:color w:val="444444"/>
          <w:sz w:val="28"/>
          <w:szCs w:val="28"/>
        </w:rPr>
      </w:pPr>
      <w:r>
        <w:rPr>
          <w:color w:val="444444"/>
          <w:sz w:val="28"/>
          <w:szCs w:val="28"/>
        </w:rPr>
        <w:t>2.</w:t>
      </w:r>
      <w:r w:rsidR="00ED528D" w:rsidRPr="00C26534">
        <w:rPr>
          <w:color w:val="444444"/>
          <w:sz w:val="28"/>
          <w:szCs w:val="28"/>
        </w:rPr>
        <w:t xml:space="preserve"> Терминология</w:t>
      </w:r>
      <w:r w:rsidR="00ED528D" w:rsidRPr="00C26534">
        <w:rPr>
          <w:color w:val="444444"/>
          <w:sz w:val="28"/>
          <w:szCs w:val="28"/>
        </w:rPr>
        <w:br/>
      </w: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t>В техническом регламенте рекомендуется использовать стандартизованные термины и их определения. Для проверки соответствия проекта технического регламента стандартам на термины и определения при его разработке целесообразно проводить терминологическую экспертизу.</w:t>
      </w:r>
      <w:r w:rsidRPr="00C26534">
        <w:rPr>
          <w:color w:val="444444"/>
          <w:sz w:val="28"/>
          <w:szCs w:val="28"/>
        </w:rPr>
        <w:br/>
      </w:r>
    </w:p>
    <w:p w:rsidR="00ED528D" w:rsidRPr="00C26534" w:rsidRDefault="006E1C19" w:rsidP="006E1C19">
      <w:pPr>
        <w:pStyle w:val="formattext"/>
        <w:spacing w:before="0" w:beforeAutospacing="0" w:after="0" w:afterAutospacing="0"/>
        <w:ind w:firstLine="480"/>
        <w:textAlignment w:val="baseline"/>
        <w:rPr>
          <w:color w:val="444444"/>
          <w:sz w:val="28"/>
          <w:szCs w:val="28"/>
        </w:rPr>
      </w:pPr>
      <w:r>
        <w:rPr>
          <w:color w:val="444444"/>
          <w:sz w:val="28"/>
          <w:szCs w:val="28"/>
        </w:rPr>
        <w:t>3.</w:t>
      </w:r>
      <w:r w:rsidR="00ED528D" w:rsidRPr="00C26534">
        <w:rPr>
          <w:color w:val="444444"/>
          <w:sz w:val="28"/>
          <w:szCs w:val="28"/>
        </w:rPr>
        <w:t xml:space="preserve"> Общее положение для размещения на рынке</w:t>
      </w:r>
      <w:r w:rsidR="00ED528D" w:rsidRPr="00C26534">
        <w:rPr>
          <w:color w:val="444444"/>
          <w:sz w:val="28"/>
          <w:szCs w:val="28"/>
        </w:rPr>
        <w:br/>
      </w: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t>Продукция не может быть реализована на рынке, если она может оказать вредное воздействие на людей, домашних животных или имущество при ее использовании по назначению.</w:t>
      </w:r>
      <w:r w:rsidRPr="00C26534">
        <w:rPr>
          <w:color w:val="444444"/>
          <w:sz w:val="28"/>
          <w:szCs w:val="28"/>
        </w:rPr>
        <w:br/>
      </w: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t>4. Требования безопасности</w:t>
      </w:r>
      <w:r w:rsidRPr="00C26534">
        <w:rPr>
          <w:color w:val="444444"/>
          <w:sz w:val="28"/>
          <w:szCs w:val="28"/>
        </w:rPr>
        <w:br/>
      </w: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t>В техническом регламенте определяется уровень безопасности, который должен быть достигнут изготовителем в соответствии с установленными целями принятия технического регламента. Это касается безопасности продукции, защиты работников, потребителей и т.д.</w:t>
      </w:r>
      <w:r w:rsidRPr="00C26534">
        <w:rPr>
          <w:color w:val="444444"/>
          <w:sz w:val="28"/>
          <w:szCs w:val="28"/>
        </w:rPr>
        <w:br/>
      </w:r>
    </w:p>
    <w:p w:rsidR="00ED528D" w:rsidRPr="00C26534" w:rsidRDefault="006E1C19" w:rsidP="006E1C19">
      <w:pPr>
        <w:pStyle w:val="formattext"/>
        <w:spacing w:before="0" w:beforeAutospacing="0" w:after="0" w:afterAutospacing="0"/>
        <w:ind w:firstLine="480"/>
        <w:textAlignment w:val="baseline"/>
        <w:rPr>
          <w:color w:val="444444"/>
          <w:sz w:val="28"/>
          <w:szCs w:val="28"/>
        </w:rPr>
      </w:pPr>
      <w:r>
        <w:rPr>
          <w:color w:val="444444"/>
          <w:sz w:val="28"/>
          <w:szCs w:val="28"/>
        </w:rPr>
        <w:t>5.</w:t>
      </w:r>
      <w:r w:rsidR="00ED528D" w:rsidRPr="00C26534">
        <w:rPr>
          <w:color w:val="444444"/>
          <w:sz w:val="28"/>
          <w:szCs w:val="28"/>
        </w:rPr>
        <w:t xml:space="preserve"> Положение о свободном перемещении</w:t>
      </w:r>
      <w:r w:rsidR="00ED528D" w:rsidRPr="00C26534">
        <w:rPr>
          <w:color w:val="444444"/>
          <w:sz w:val="28"/>
          <w:szCs w:val="28"/>
        </w:rPr>
        <w:br/>
      </w: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t>Органы власти не должны препятствовать свободному перемещению на рынке продукции, соответствующей требованиям технических регламентов.</w:t>
      </w:r>
      <w:r w:rsidRPr="00C26534">
        <w:rPr>
          <w:color w:val="444444"/>
          <w:sz w:val="28"/>
          <w:szCs w:val="28"/>
        </w:rPr>
        <w:br/>
      </w:r>
    </w:p>
    <w:p w:rsidR="00ED528D" w:rsidRPr="00C26534" w:rsidRDefault="006E1C19" w:rsidP="006E1C19">
      <w:pPr>
        <w:pStyle w:val="formattext"/>
        <w:spacing w:before="0" w:beforeAutospacing="0" w:after="0" w:afterAutospacing="0"/>
        <w:ind w:firstLine="480"/>
        <w:textAlignment w:val="baseline"/>
        <w:rPr>
          <w:color w:val="444444"/>
          <w:sz w:val="28"/>
          <w:szCs w:val="28"/>
        </w:rPr>
      </w:pPr>
      <w:r>
        <w:rPr>
          <w:color w:val="444444"/>
          <w:sz w:val="28"/>
          <w:szCs w:val="28"/>
        </w:rPr>
        <w:t>6.</w:t>
      </w:r>
      <w:r w:rsidR="00ED528D" w:rsidRPr="00C26534">
        <w:rPr>
          <w:color w:val="444444"/>
          <w:sz w:val="28"/>
          <w:szCs w:val="28"/>
        </w:rPr>
        <w:t xml:space="preserve"> Подтверждение соответствия</w:t>
      </w:r>
      <w:r w:rsidR="00ED528D" w:rsidRPr="00C26534">
        <w:rPr>
          <w:color w:val="444444"/>
          <w:sz w:val="28"/>
          <w:szCs w:val="28"/>
        </w:rPr>
        <w:br/>
      </w: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t>В общем случае оценка соответствия продукции требованиям технических регламентов может быть основана на следующих положениях:</w:t>
      </w: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t>- выполнение требований национальных стандартов, являющихся доказательной базой выполнения требований регламентов, соответствующих международным или региональным стандартам (презумпция соответствия);</w:t>
      </w: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lastRenderedPageBreak/>
        <w:t>- если продукция не удовлетворяет требованиям таких стандартов или такие стандарты отсутствуют, то ее следует оценивать непосредственно на соответствие требованиям технического регламента;</w:t>
      </w: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t>- с целью информирования о соответствии продукции требованиям технического регламента изготовитель или его официальный представитель (например, импортер) маркирует продукцию соответствующим знаком.</w:t>
      </w:r>
      <w:r w:rsidRPr="00C26534">
        <w:rPr>
          <w:color w:val="444444"/>
          <w:sz w:val="28"/>
          <w:szCs w:val="28"/>
        </w:rPr>
        <w:br/>
      </w:r>
    </w:p>
    <w:p w:rsidR="00ED528D" w:rsidRPr="00C26534" w:rsidRDefault="006E1C19" w:rsidP="006E1C19">
      <w:pPr>
        <w:pStyle w:val="formattext"/>
        <w:spacing w:before="0" w:beforeAutospacing="0" w:after="0" w:afterAutospacing="0"/>
        <w:ind w:firstLine="480"/>
        <w:textAlignment w:val="baseline"/>
        <w:rPr>
          <w:color w:val="444444"/>
          <w:sz w:val="28"/>
          <w:szCs w:val="28"/>
        </w:rPr>
      </w:pPr>
      <w:r>
        <w:rPr>
          <w:color w:val="444444"/>
          <w:sz w:val="28"/>
          <w:szCs w:val="28"/>
        </w:rPr>
        <w:t>7.</w:t>
      </w:r>
      <w:r w:rsidR="00ED528D" w:rsidRPr="00C26534">
        <w:rPr>
          <w:color w:val="444444"/>
          <w:sz w:val="28"/>
          <w:szCs w:val="28"/>
        </w:rPr>
        <w:t xml:space="preserve"> Оценка соответствия</w:t>
      </w:r>
      <w:r w:rsidR="00ED528D" w:rsidRPr="00C26534">
        <w:rPr>
          <w:color w:val="444444"/>
          <w:sz w:val="28"/>
          <w:szCs w:val="28"/>
        </w:rPr>
        <w:br/>
      </w: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t>В общем виде оценка соответствия включает государственный контроль (надзор), аккредитацию, испытания, регистрацию, подтверждение соответствия, приемку и ввод в эксплуатацию объекта и иные формы.</w:t>
      </w: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t xml:space="preserve">В техническом регламенте, как правило, содержатся требования по подтверждению соответствия продукции и осуществлению за ней государственного контроля (надзора). </w:t>
      </w: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t>Другие формы оценки соответствия могут отражаться в техническом регламенте в случае, когда эти формы необходимы для достижения целей конкретного технического регламента.</w:t>
      </w: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t>Обязательное подтверждение соответствия проводится в формах декларирования соответствия и обязательной сертификации.</w:t>
      </w:r>
      <w:r w:rsidRPr="00C26534">
        <w:rPr>
          <w:color w:val="444444"/>
          <w:sz w:val="28"/>
          <w:szCs w:val="28"/>
        </w:rPr>
        <w:br/>
      </w:r>
    </w:p>
    <w:p w:rsidR="00ED528D" w:rsidRPr="00C26534" w:rsidRDefault="006E1C19" w:rsidP="006E1C19">
      <w:pPr>
        <w:pStyle w:val="formattext"/>
        <w:spacing w:before="0" w:beforeAutospacing="0" w:after="0" w:afterAutospacing="0"/>
        <w:ind w:firstLine="480"/>
        <w:textAlignment w:val="baseline"/>
        <w:rPr>
          <w:color w:val="444444"/>
          <w:sz w:val="28"/>
          <w:szCs w:val="28"/>
        </w:rPr>
      </w:pPr>
      <w:r>
        <w:rPr>
          <w:color w:val="444444"/>
          <w:sz w:val="28"/>
          <w:szCs w:val="28"/>
        </w:rPr>
        <w:t>8.</w:t>
      </w:r>
      <w:r w:rsidR="00ED528D" w:rsidRPr="00C26534">
        <w:rPr>
          <w:color w:val="444444"/>
          <w:sz w:val="28"/>
          <w:szCs w:val="28"/>
        </w:rPr>
        <w:t xml:space="preserve"> Управление перечнем стандартов</w:t>
      </w:r>
      <w:r w:rsidR="00ED528D" w:rsidRPr="00C26534">
        <w:rPr>
          <w:color w:val="444444"/>
          <w:sz w:val="28"/>
          <w:szCs w:val="28"/>
        </w:rPr>
        <w:br/>
      </w: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t>Перечень стандартов, используемых для соблюдения требований технического регламента, утверждает национальный орган по стандартизации и публикует в официальном издании федерального органа в области технического регулирования.</w:t>
      </w:r>
      <w:r w:rsidRPr="00C26534">
        <w:rPr>
          <w:color w:val="444444"/>
          <w:sz w:val="28"/>
          <w:szCs w:val="28"/>
        </w:rPr>
        <w:br/>
      </w:r>
    </w:p>
    <w:p w:rsidR="00ED528D" w:rsidRPr="00C26534" w:rsidRDefault="006E1C19" w:rsidP="006E1C19">
      <w:pPr>
        <w:pStyle w:val="formattext"/>
        <w:spacing w:before="0" w:beforeAutospacing="0" w:after="0" w:afterAutospacing="0"/>
        <w:ind w:firstLine="480"/>
        <w:textAlignment w:val="baseline"/>
        <w:rPr>
          <w:color w:val="444444"/>
          <w:sz w:val="28"/>
          <w:szCs w:val="28"/>
        </w:rPr>
      </w:pPr>
      <w:r>
        <w:rPr>
          <w:color w:val="444444"/>
          <w:sz w:val="28"/>
          <w:szCs w:val="28"/>
        </w:rPr>
        <w:t>9.</w:t>
      </w:r>
      <w:r w:rsidR="00ED528D" w:rsidRPr="00C26534">
        <w:rPr>
          <w:color w:val="444444"/>
          <w:sz w:val="28"/>
          <w:szCs w:val="28"/>
        </w:rPr>
        <w:t xml:space="preserve"> Контроль и надзор на рынке</w:t>
      </w:r>
      <w:r w:rsidR="00ED528D" w:rsidRPr="00C26534">
        <w:rPr>
          <w:color w:val="444444"/>
          <w:sz w:val="28"/>
          <w:szCs w:val="28"/>
        </w:rPr>
        <w:br/>
      </w: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t>Оценка продукции после поставки на рынок является составной частью многих процедур оценки соответствия. Такая оценка зачастую называется надзором после поставки продукции на рынок, в результате которой обеспечивается соответствие продукции или уверенность в том, что она продолжает соответствовать необходимым регулирующим требованиям. Надзор после поставки продукции на рынок является определяющим для процедур оценки соответствия при отсутствии однозначной гарантии в том, что продукция будет продолжать соответствовать установленным требованиям. Надзор после поставки продукции на рынок также необходим при применении процедур заявления поставщика о соответствии, чтобы убедиться в том, что заявления о соответствии остаются в силе.</w:t>
      </w: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t>Для эффективной процедуры надзора после поставки на рынок характерны следующие две важные характеристики:</w:t>
      </w: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t>- значительные штрафы за несоответствие;</w:t>
      </w: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lastRenderedPageBreak/>
        <w:t>- вероятность для поставщиков, что несоответствующая продукция будет в итоге выявлена.</w:t>
      </w: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t>Без этих двух важных элементов поставщики могут оказаться перед соблазном риска в части соответствия их продукции установленным требованиям. В результате жизнь людей и безопасность общества могут подвергнуться опасности из-за несоответствующей продукции, поставляемой на рынок.</w:t>
      </w:r>
    </w:p>
    <w:p w:rsidR="00ED528D" w:rsidRPr="00C26534" w:rsidRDefault="00ED528D" w:rsidP="006E1C19">
      <w:pPr>
        <w:pStyle w:val="formattext"/>
        <w:spacing w:before="0" w:beforeAutospacing="0" w:after="0" w:afterAutospacing="0"/>
        <w:ind w:firstLine="480"/>
        <w:textAlignment w:val="baseline"/>
        <w:rPr>
          <w:color w:val="444444"/>
          <w:sz w:val="28"/>
          <w:szCs w:val="28"/>
        </w:rPr>
      </w:pPr>
      <w:r w:rsidRPr="00C26534">
        <w:rPr>
          <w:color w:val="444444"/>
          <w:sz w:val="28"/>
          <w:szCs w:val="28"/>
        </w:rPr>
        <w:t>В первом случае, если штрафы за несоответствие являются минимальными, поставщики могут рисковать даже при высокой вероятности выявления несоответствия продукции. Штрафы могут рассматриваться поставщиками как досадная неприятность, а не как стимул к обеспечению соответствия.</w:t>
      </w:r>
      <w:bookmarkStart w:id="0" w:name="_GoBack"/>
      <w:bookmarkEnd w:id="0"/>
    </w:p>
    <w:p w:rsidR="006B7ACF" w:rsidRPr="00C26534" w:rsidRDefault="006B7ACF" w:rsidP="006E1C19">
      <w:pPr>
        <w:spacing w:after="0" w:line="330" w:lineRule="atLeast"/>
        <w:ind w:firstLine="480"/>
        <w:textAlignment w:val="baseline"/>
        <w:rPr>
          <w:rFonts w:ascii="Times New Roman" w:eastAsia="Times New Roman" w:hAnsi="Times New Roman" w:cs="Times New Roman"/>
          <w:sz w:val="28"/>
          <w:szCs w:val="28"/>
          <w:lang w:eastAsia="ru-RU"/>
        </w:rPr>
      </w:pPr>
    </w:p>
    <w:sectPr w:rsidR="006B7ACF" w:rsidRPr="00C26534" w:rsidSect="006B7AC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429C7"/>
    <w:multiLevelType w:val="hybridMultilevel"/>
    <w:tmpl w:val="31FE4A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99B"/>
    <w:rsid w:val="00102C2F"/>
    <w:rsid w:val="001D702E"/>
    <w:rsid w:val="00232CDE"/>
    <w:rsid w:val="0044242F"/>
    <w:rsid w:val="0047724D"/>
    <w:rsid w:val="005D44A0"/>
    <w:rsid w:val="00680B3F"/>
    <w:rsid w:val="0069499B"/>
    <w:rsid w:val="006B7ACF"/>
    <w:rsid w:val="006E1C19"/>
    <w:rsid w:val="0070541A"/>
    <w:rsid w:val="007057FA"/>
    <w:rsid w:val="007436B8"/>
    <w:rsid w:val="007801CD"/>
    <w:rsid w:val="007F071D"/>
    <w:rsid w:val="009B55A8"/>
    <w:rsid w:val="00A77831"/>
    <w:rsid w:val="00AD2814"/>
    <w:rsid w:val="00C26534"/>
    <w:rsid w:val="00D274A5"/>
    <w:rsid w:val="00D55C88"/>
    <w:rsid w:val="00ED528D"/>
    <w:rsid w:val="00EF02D9"/>
    <w:rsid w:val="00F55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40CE5"/>
  <w15:chartTrackingRefBased/>
  <w15:docId w15:val="{BC611E63-E1D2-4D65-B1FB-453C21AA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99B"/>
  </w:style>
  <w:style w:type="paragraph" w:styleId="2">
    <w:name w:val="heading 2"/>
    <w:basedOn w:val="a"/>
    <w:next w:val="a"/>
    <w:link w:val="20"/>
    <w:uiPriority w:val="9"/>
    <w:semiHidden/>
    <w:unhideWhenUsed/>
    <w:qFormat/>
    <w:rsid w:val="006B7A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7436B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499B"/>
    <w:pPr>
      <w:ind w:left="720"/>
      <w:contextualSpacing/>
    </w:pPr>
  </w:style>
  <w:style w:type="character" w:customStyle="1" w:styleId="30">
    <w:name w:val="Заголовок 3 Знак"/>
    <w:basedOn w:val="a0"/>
    <w:link w:val="3"/>
    <w:uiPriority w:val="9"/>
    <w:rsid w:val="007436B8"/>
    <w:rPr>
      <w:rFonts w:ascii="Times New Roman" w:eastAsia="Times New Roman" w:hAnsi="Times New Roman" w:cs="Times New Roman"/>
      <w:b/>
      <w:bCs/>
      <w:sz w:val="27"/>
      <w:szCs w:val="27"/>
      <w:lang w:eastAsia="ru-RU"/>
    </w:rPr>
  </w:style>
  <w:style w:type="paragraph" w:customStyle="1" w:styleId="formattext">
    <w:name w:val="formattext"/>
    <w:basedOn w:val="a"/>
    <w:rsid w:val="007436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436B8"/>
    <w:rPr>
      <w:color w:val="0000FF"/>
      <w:u w:val="single"/>
    </w:rPr>
  </w:style>
  <w:style w:type="character" w:customStyle="1" w:styleId="20">
    <w:name w:val="Заголовок 2 Знак"/>
    <w:basedOn w:val="a0"/>
    <w:link w:val="2"/>
    <w:uiPriority w:val="9"/>
    <w:semiHidden/>
    <w:rsid w:val="006B7AC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54196">
      <w:bodyDiv w:val="1"/>
      <w:marLeft w:val="0"/>
      <w:marRight w:val="0"/>
      <w:marTop w:val="0"/>
      <w:marBottom w:val="0"/>
      <w:divBdr>
        <w:top w:val="none" w:sz="0" w:space="0" w:color="auto"/>
        <w:left w:val="none" w:sz="0" w:space="0" w:color="auto"/>
        <w:bottom w:val="none" w:sz="0" w:space="0" w:color="auto"/>
        <w:right w:val="none" w:sz="0" w:space="0" w:color="auto"/>
      </w:divBdr>
      <w:divsChild>
        <w:div w:id="2126994440">
          <w:marLeft w:val="0"/>
          <w:marRight w:val="0"/>
          <w:marTop w:val="0"/>
          <w:marBottom w:val="0"/>
          <w:divBdr>
            <w:top w:val="none" w:sz="0" w:space="0" w:color="auto"/>
            <w:left w:val="none" w:sz="0" w:space="0" w:color="auto"/>
            <w:bottom w:val="none" w:sz="0" w:space="0" w:color="auto"/>
            <w:right w:val="none" w:sz="0" w:space="0" w:color="auto"/>
          </w:divBdr>
          <w:divsChild>
            <w:div w:id="363411169">
              <w:marLeft w:val="0"/>
              <w:marRight w:val="0"/>
              <w:marTop w:val="0"/>
              <w:marBottom w:val="0"/>
              <w:divBdr>
                <w:top w:val="none" w:sz="0" w:space="0" w:color="auto"/>
                <w:left w:val="none" w:sz="0" w:space="0" w:color="auto"/>
                <w:bottom w:val="none" w:sz="0" w:space="0" w:color="auto"/>
                <w:right w:val="none" w:sz="0" w:space="0" w:color="auto"/>
              </w:divBdr>
              <w:divsChild>
                <w:div w:id="17568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3176">
          <w:marLeft w:val="0"/>
          <w:marRight w:val="0"/>
          <w:marTop w:val="0"/>
          <w:marBottom w:val="0"/>
          <w:divBdr>
            <w:top w:val="none" w:sz="0" w:space="0" w:color="auto"/>
            <w:left w:val="none" w:sz="0" w:space="0" w:color="auto"/>
            <w:bottom w:val="none" w:sz="0" w:space="0" w:color="auto"/>
            <w:right w:val="none" w:sz="0" w:space="0" w:color="auto"/>
          </w:divBdr>
          <w:divsChild>
            <w:div w:id="685836735">
              <w:marLeft w:val="0"/>
              <w:marRight w:val="0"/>
              <w:marTop w:val="0"/>
              <w:marBottom w:val="0"/>
              <w:divBdr>
                <w:top w:val="none" w:sz="0" w:space="0" w:color="auto"/>
                <w:left w:val="none" w:sz="0" w:space="0" w:color="auto"/>
                <w:bottom w:val="none" w:sz="0" w:space="0" w:color="auto"/>
                <w:right w:val="none" w:sz="0" w:space="0" w:color="auto"/>
              </w:divBdr>
              <w:divsChild>
                <w:div w:id="13700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724200">
      <w:bodyDiv w:val="1"/>
      <w:marLeft w:val="0"/>
      <w:marRight w:val="0"/>
      <w:marTop w:val="0"/>
      <w:marBottom w:val="0"/>
      <w:divBdr>
        <w:top w:val="none" w:sz="0" w:space="0" w:color="auto"/>
        <w:left w:val="none" w:sz="0" w:space="0" w:color="auto"/>
        <w:bottom w:val="none" w:sz="0" w:space="0" w:color="auto"/>
        <w:right w:val="none" w:sz="0" w:space="0" w:color="auto"/>
      </w:divBdr>
      <w:divsChild>
        <w:div w:id="1629430052">
          <w:marLeft w:val="0"/>
          <w:marRight w:val="0"/>
          <w:marTop w:val="0"/>
          <w:marBottom w:val="0"/>
          <w:divBdr>
            <w:top w:val="none" w:sz="0" w:space="0" w:color="auto"/>
            <w:left w:val="none" w:sz="0" w:space="0" w:color="auto"/>
            <w:bottom w:val="none" w:sz="0" w:space="0" w:color="auto"/>
            <w:right w:val="none" w:sz="0" w:space="0" w:color="auto"/>
          </w:divBdr>
          <w:divsChild>
            <w:div w:id="1811096087">
              <w:marLeft w:val="0"/>
              <w:marRight w:val="0"/>
              <w:marTop w:val="0"/>
              <w:marBottom w:val="0"/>
              <w:divBdr>
                <w:top w:val="none" w:sz="0" w:space="0" w:color="auto"/>
                <w:left w:val="none" w:sz="0" w:space="0" w:color="auto"/>
                <w:bottom w:val="none" w:sz="0" w:space="0" w:color="auto"/>
                <w:right w:val="none" w:sz="0" w:space="0" w:color="auto"/>
              </w:divBdr>
              <w:divsChild>
                <w:div w:id="87739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19692">
          <w:marLeft w:val="0"/>
          <w:marRight w:val="0"/>
          <w:marTop w:val="0"/>
          <w:marBottom w:val="0"/>
          <w:divBdr>
            <w:top w:val="none" w:sz="0" w:space="0" w:color="auto"/>
            <w:left w:val="none" w:sz="0" w:space="0" w:color="auto"/>
            <w:bottom w:val="none" w:sz="0" w:space="0" w:color="auto"/>
            <w:right w:val="none" w:sz="0" w:space="0" w:color="auto"/>
          </w:divBdr>
          <w:divsChild>
            <w:div w:id="2137329380">
              <w:marLeft w:val="0"/>
              <w:marRight w:val="0"/>
              <w:marTop w:val="0"/>
              <w:marBottom w:val="0"/>
              <w:divBdr>
                <w:top w:val="none" w:sz="0" w:space="0" w:color="auto"/>
                <w:left w:val="none" w:sz="0" w:space="0" w:color="auto"/>
                <w:bottom w:val="none" w:sz="0" w:space="0" w:color="auto"/>
                <w:right w:val="none" w:sz="0" w:space="0" w:color="auto"/>
              </w:divBdr>
              <w:divsChild>
                <w:div w:id="16985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5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7AFC7-ADAC-4A4A-B223-E7B652380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4</Pages>
  <Words>964</Words>
  <Characters>5500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2022-01-25T06:20:00Z</dcterms:created>
  <dcterms:modified xsi:type="dcterms:W3CDTF">2022-02-13T12:54:00Z</dcterms:modified>
</cp:coreProperties>
</file>