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E" w:rsidRPr="00746AE1" w:rsidRDefault="003D3670" w:rsidP="003D3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7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5307CD">
        <w:rPr>
          <w:rFonts w:ascii="Times New Roman" w:hAnsi="Times New Roman" w:cs="Times New Roman"/>
          <w:b/>
          <w:sz w:val="24"/>
          <w:szCs w:val="24"/>
        </w:rPr>
        <w:t>9</w:t>
      </w:r>
    </w:p>
    <w:p w:rsidR="00794379" w:rsidRPr="00606A10" w:rsidRDefault="00725C9B" w:rsidP="00AC6A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Процедура а</w:t>
      </w:r>
      <w:r w:rsidR="008B3DF7" w:rsidRPr="008B3DF7">
        <w:rPr>
          <w:rFonts w:ascii="Times New Roman" w:hAnsi="Times New Roman" w:cs="Times New Roman"/>
          <w:b/>
          <w:bCs/>
          <w:sz w:val="24"/>
          <w:szCs w:val="24"/>
        </w:rPr>
        <w:t>ккредитаци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B3DF7" w:rsidRPr="008B3DF7">
        <w:rPr>
          <w:rFonts w:ascii="Times New Roman" w:hAnsi="Times New Roman" w:cs="Times New Roman"/>
          <w:b/>
          <w:bCs/>
          <w:sz w:val="24"/>
          <w:szCs w:val="24"/>
        </w:rPr>
        <w:t xml:space="preserve"> в национальной системе аккредитации</w:t>
      </w:r>
    </w:p>
    <w:p w:rsidR="006B1635" w:rsidRPr="00606A10" w:rsidRDefault="006B1635" w:rsidP="00AC6A0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0CE7" w:rsidRPr="006B1635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 w:rsidR="00725C9B" w:rsidRPr="00725C9B">
        <w:rPr>
          <w:rFonts w:ascii="Times New Roman" w:hAnsi="Times New Roman" w:cs="Times New Roman"/>
          <w:i/>
          <w:color w:val="000000"/>
          <w:sz w:val="24"/>
          <w:szCs w:val="24"/>
        </w:rPr>
        <w:t>Порядок предоставления заявления и документов, необходимых для аккредитации</w:t>
      </w:r>
    </w:p>
    <w:p w:rsidR="00480CE7" w:rsidRDefault="00725C9B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>2 Порядок оценки соответствия заявителя критериям аккредитации</w:t>
      </w:r>
    </w:p>
    <w:p w:rsidR="006B1635" w:rsidRDefault="006B1635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1635">
        <w:t xml:space="preserve"> </w:t>
      </w:r>
      <w:proofErr w:type="spellStart"/>
      <w:r w:rsidR="00725C9B" w:rsidRPr="00725C9B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proofErr w:type="spellEnd"/>
      <w:r w:rsidR="00725C9B"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Требования к принятию решения об аккредитации или об отказе в аккредитации</w:t>
      </w:r>
    </w:p>
    <w:p w:rsidR="00480CE7" w:rsidRPr="00725C9B" w:rsidRDefault="008B3DF7" w:rsidP="008B3DF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3D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 </w:t>
      </w:r>
      <w:r w:rsidR="00725C9B" w:rsidRPr="00725C9B">
        <w:rPr>
          <w:rFonts w:ascii="Times New Roman" w:hAnsi="Times New Roman" w:cs="Times New Roman"/>
          <w:i/>
          <w:color w:val="000000"/>
          <w:sz w:val="24"/>
          <w:szCs w:val="24"/>
        </w:rPr>
        <w:t>Требования к содержанию и сроку действия аттестата аккредитации</w:t>
      </w:r>
    </w:p>
    <w:p w:rsidR="008B3DF7" w:rsidRPr="00725C9B" w:rsidRDefault="008B3DF7" w:rsidP="008B3DF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Pr="00725C9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Порядок предоставления заявления и документов, необходимых для аккредитации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Для аккредитации заявитель представляет в национальный орган по аккредитации (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) заявление об аккредитации, которое подписывается руководителем юридического лица либо индивидуальным предпринимателем.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заявлении об аккредитации указываются: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полное и сокращенное наименование юридического лица, адрес его места нахождения, номер телефона и адрес электронной почты;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фамилия, имя и отчество индивидуального предпринимателя, адрес его места жительства, данные документа, удостоверяющего его личность, номер телефона и адрес электронной почты;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3) адреса мест осуществления деятельности в заявленной области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4) идентификационный номер налогоплательщика;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5) заявленная область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заявлении об аккредитации заявитель может указать просьбу об осуществлении взаимодействия в электронной форме по вопросам аккредитации с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 заявлению об аккредитации прилагаются: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копии документов (в том числе в электронной форме), подтверждающих соответствие заявителя критериям аккредитации и предусмотренных перечнем документов, утвержденным Минэкономразвития;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опись прилагаемых документов.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не вправе требовать от заявителя указания в заявлении об аккредитации сведений, а также представления документов, не предусмотренных приведенными выше перечнями.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если заявление об аккредитации оформлено с нарушением установленных требований и (или) документы, указанные выше, представлены не в полном объеме, в течение пяти дней со дня приема заявления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вручает заявителю уведомление о необходимости устранения в тридцатидневный срок выявленных нарушений и (или) представления документов, которые отсутствуют. В этом случае срок принятия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об аккредитации или об отказе в аккредитации исчисляется со дня поступления надлежащим образом оформленного заявления об аккредитации и в полном объеме документов, прилагаемых к нему и соответствующих установленным требованиям.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Непредставление заявителем в тридцатидневный срок надлежащим образом оформленного заявления об аккредитации и (или) в полном объеме прилагаемых к нему документов является основанием для отказа в аккредитации. </w:t>
      </w: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r w:rsidRPr="00725C9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Порядок оценки соответствия заявителя критериям аккредитации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решение об аккредитации или об отказе в аккредитации на основании оценки соответствия заявителя критериям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Оценка соответствия заявителя критериям аккредитации проводится в форме документарной и выездной оценки соответствия, проводимой по месту (или местам) осуществления его деятельности.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Оценка соответствия заявителя критериям аккредитации основывается на принципах законности, защиты прав юридического лица или индивидуального предпринимателя, независимости, беспристрастности и компетентности экспертов по аккредитации и технических экспертов, объективности, всесторонности и полноты такой оценки, ответственности экспертов по аккредитации и технических экспертов за проведение и качество такой оценки.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ходе документарной оценки соответствия критериям аккредитации осуществляется экспертиза представленных заявителем документов и сведений. Эта экспертиза проводится на предмет их соответствия заявленной области аккредитации. Результаты экспертизы указанных документов и сведений оформляются экспертным заключением, которое подписывается членами экспертной группы и утверждается экспертом по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Экспертное заключение представляется или направляется заявителю и в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экспертом по аккредитации.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проверку экспертного заключения, по результатам которой принимает решение о проведении выездной оценки соответствия заявителя критериям аккредитации или о приостановлении осуществления аккредитации (в случае, если выявлены несоответствия заявителя критериям аккредитации).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принятия решения о приостановлении осуществления аккредитации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трех рабочих дней вручает заявителю уведомление о приостановлении осуществления аккредитации с указанием на необходимость устранения в течение двадцати рабочих дней выявленных несоответствий заявителя критериям аккредитации. Непредставление заявителем в установленный срок документов и (или) сведений, указанных в уведомлении, является основанием для отказа в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Выездная оценка соответствия заявителя критериям аккредитации проводится в соответствии с программой выездной оценки, утвержденной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выездной оценки формируется с учетом заявленной области аккредитации, места (или мест) осуществления деятельности в области аккредитации и содержит: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перечень работ по проведению выездной экспертизы соответствия заявителя критериям аккредитации, выполняемых экспертной группой, а именно: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а) оценку системы менеджмента качества заявителя, а также соблюдения при осуществлении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деятельности требований системы менеджмента качества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б) оценку материально-технической базы заявителя;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в) оценку квалификации и опыта работников заявителя;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г) оценку обеспеченности необходимой документацией;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) наблюдение за выполнением заявителем работ в соответствии с заявленной областью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перечень мероприятий по оценке соответствия заявителя, осуществляемых должностными лицами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Росаккредитации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Выездная экспертиза соответствия заявителя критериям аккредитации осуществляется экспертной группой. По результатам выездной экспертизы составляется акт выездной экспертизы, который подписывается членами экспертной группы и утверждается экспертом по аккредитации. Заявитель или его уполномоченный представитель делают в акте выездной экспертизы отметку об ознакомлении с ним.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Акт выездной экспертизы представляется или направляется в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экспертом по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установленном Министерством экономического развития, проводит проверку акта выездной экспертизы на предмет его соответствия установленным требованиям.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выездной оценки соответствия заявителя критериям аккредитации, а также мероприятий по оценке соответствия заявителя должностными лицами национального органа по аккредитации,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решение: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об аккредитации (в случае соответствия заявителя критериям аккредитации);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об отказе в аккредитации (в случае, если факт устранения выявленных несоответствий заявителя критериям аккредитации может быть установлен только при проведении повторной выездной экспертизы соответствия заявителя критериям аккредитации);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3) о приостановлении осуществления аккредитации (в случае, если факт устранения выявленных несоответствий заявителя критериям аккредитации может быть установлен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проверки представленных заявителем документов и (или) сведений).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принятия решения о приостановлении осуществления аккредитации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вручает заявителю уведомление о приостановлении осуществления аккредитации с указанием на необходимость устранения в течение двадцати рабочих дней выявленных несоответствий заявителя критериям аккредитации. Непредставление заявителем в установленный срок документов и (или) сведений, подтверждающих устранение им несоответствий критериям аккредитации, указанных в уведомлении о приостановлении осуществления аккредитации, является основанием для отказа в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документов и (или) сведений, представленных заявителем в соответствии с уведомлением о приостановлении осуществления аккредитации в установленный срок, принимает решение: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а) об аккредитации, если представленные заявителем документы и (или) сведения подтверждают устранение им несоответствий критериям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б) об отказе в аккредитации, если представленные заявителем документы и (или) сведения не подтверждают устранение им полностью несоответствий критериям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заявитель соответствует критериям аккредитации в части заявленной им области аккредитации,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решение об </w:t>
      </w:r>
      <w:r w:rsidRPr="00725C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аккредитации заявителя в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заявленной им области аккредитации и об отказе в аккредитации в остальной части заявленной им области аккредитации. </w:t>
      </w: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Pr="00725C9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Требования к принятию решения об аккредитации или об отказе в аккредитации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об аккредитации или об отказе в аккредитации оформляется приказом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Росаккредитации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трех рабочих дней со дня подписания приказа об аккредитации сведения об аккредитации вносятся в Реестр аккредитованных лиц, копия приказа об аккредитации вручается заявителю.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принятия решения об отказе в аккредитации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Росаккредитация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трех рабочих дней со дня принятия такого решения вручает заявителю (либо направляет ему заказным почтовым отправлением с уведомлением о вручении) копию приказа об отказе в аккредитации с указанием причин отказа.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Основанием для отказа в аккредитации является: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наличие в заявлении об аккредитации и прилагаемых к нему документах недостоверной или искаженной информации;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нарушение установленных требований к заявлению об аккредитации и (или) предоставлению прилагаемых к заявлению документов;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4) непредставление заявителем в установленный срок документов и (или) сведений, подтверждающих устранение им несоответствий критериям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5) несоответствие заявителя критериям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6) отказ или уклонение заявителя от прохождения экспертиз соответствия заявителя критериям аккредитации;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7) непредставление документов о получении услуг по прохождению необходимых экспертиз или представление указанных документов с нарушением установленных сроков;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8) поступление заявления об аккредитации в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от заявителя, который был лишен аккредитации и не вправе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обращаться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с таким заявлением в течение двух лет со дня прекращения действия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9) поступление заявления о расширении области аккредитации от аккредитованного лица, область аккредитации которого была сокращена и которое не вправе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обращаться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с таким заявлением в течение двух лет со дня сокращения области аккредитации. </w:t>
      </w: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25C9B" w:rsidRPr="00725C9B" w:rsidRDefault="00725C9B" w:rsidP="00725C9B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</w:t>
      </w:r>
      <w:r w:rsidRPr="00725C9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Требования к содержанию и сроку действия аттестата аккредитации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Аттестат аккредитации содержит: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знак национальной системы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наименование национального органа по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информацию о виде деятельности по оценке соответствия и (или) обеспечению единства измерений, об ином виде деятельности;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4) дату выдачи и номер аттестата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5) наименование аккредитованного лица, место его нахождения (для юридических лиц);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6) фамилию, имя и отчество, место жительства, данные документа, удостоверяющего личность аккредитованного лица (для индивидуального предпринимателя);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7) идентификационный номер налогоплательщика;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8) иные сведения, определенные Министерством экономического развития.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аттестата аккредитации является приложение к нему, содержащее наименование области аккредитации.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Аттестат аккредитации является бессрочным.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Аттестаты аккредитации имеют равную юридическую силу на всей территории Российской Федерации.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Аккредитованное лицо вправе обратиться в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с заявлением о выдаче аттестата аккредитации на бумажном носителе, а также в случае утраты аттестата аккредитации или его порчи с заявлением о выдаче дубликата аттестата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Действие аккредитации прекращается в следующих случаях: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представление аккредитованным лицом в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заявления о прекращении деятельности в области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прекращение деятельности юридического лица;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3) реорганизация юридического лица в форме выделения;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4) прекращение физическим лицом деятельности в качестве индивидуального предпринимателя;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неустранение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аккредитованным лицом в установленные сроки выявленного нарушения требований к деятельности аккредитованных лиц, на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действие аккредитации приостановлено;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6) выявление в течение года более двух фактов нарушений аккредитованным лицом установленных требований, повлекших за собой приостановление действия аккредитации.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Действие аккредитации приостанавливается </w:t>
      </w:r>
      <w:proofErr w:type="spellStart"/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отношении всей области аккредитации или ее части в случае: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если в результате проведения федерального государственного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аккредитованного лица выявлено нарушение, которое может повлечь за собой угрозу причинения вреда жизни, здоровью граждан, вреда животным, растениям, окружающей среде, безопасности государства, возникновения чрезвычайных ситуаций природного и техногенного характера либо вводит в заблуждение приобретателей;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неоднократного в течение одного года непредставления в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Росаккредитацию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сведений о результатах своей деятельности либо представления недостоверных сведений;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3) отказ или уклонение от прохождения процедуры подтверждения компетентности аккредитованного лица, а также несоответствия аккредитованного лица критериям аккредитации, которое выявлено по результатам процедуры подтверждения компетентности аккредитованного лица и факт устранения которого может быть </w:t>
      </w:r>
      <w:r w:rsidRPr="00725C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установлен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только при осуществлении федерального государственного </w:t>
      </w:r>
      <w:proofErr w:type="gram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аккредитованного лица в форме выездной проверки;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4) неполучение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Росаккредитацией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отчета аккредитованного лица об устранении выявленных в ходе процедуры подтверждения компетентности несоответствий критериям аккредитации;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неустранение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аккредитованным лицом несоответствий критериям аккредитации, выявленных по результатам предоставленного отчета аккредитованного лица;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6) неисполнение в установленный срок аккредитованным лицом предписания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Росаккредитации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 об устранении выявленного нарушения требований к деятельности аккредитованных лиц.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Срок приостановления действия аккредитации не может превышать три месяца.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 приостановлении действия аккредитации оформляется приказом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Росаккредитации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Сокращение области аккредитации аккредитованного лица осуществляется в случае: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1) если аккредитованное лицо, действие аккредитации которого было приостановлено в части области аккредитации, не устранило выявленного несоответствия требованиям к деятельности аккредитованных лиц; </w:t>
      </w:r>
    </w:p>
    <w:p w:rsidR="00725C9B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2) представления аккредитованным лицом заявления о сокращении области аккредитации. Решение о сокращении области аккредитации оформляется приказом </w:t>
      </w:r>
      <w:proofErr w:type="spellStart"/>
      <w:r w:rsidRPr="00725C9B">
        <w:rPr>
          <w:rFonts w:ascii="Times New Roman" w:hAnsi="Times New Roman" w:cs="Times New Roman"/>
          <w:color w:val="000000"/>
          <w:sz w:val="24"/>
          <w:szCs w:val="24"/>
        </w:rPr>
        <w:t>Росаккредитации</w:t>
      </w:r>
      <w:proofErr w:type="spellEnd"/>
      <w:r w:rsidRPr="00725C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B3DF7" w:rsidRPr="00725C9B" w:rsidRDefault="00725C9B" w:rsidP="00725C9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9B">
        <w:rPr>
          <w:rFonts w:ascii="Times New Roman" w:hAnsi="Times New Roman" w:cs="Times New Roman"/>
          <w:color w:val="000000"/>
          <w:sz w:val="24"/>
          <w:szCs w:val="24"/>
        </w:rPr>
        <w:t>Расширение области аккредитации осуществляется на основании заявления аккредитованного лица в порядке, установленном для проведения аккредитации в национальной системе аккредитации.</w:t>
      </w:r>
    </w:p>
    <w:sectPr w:rsidR="008B3DF7" w:rsidRPr="00725C9B" w:rsidSect="0044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670"/>
    <w:rsid w:val="00003C0B"/>
    <w:rsid w:val="00012B07"/>
    <w:rsid w:val="0001601F"/>
    <w:rsid w:val="00051000"/>
    <w:rsid w:val="00070331"/>
    <w:rsid w:val="000768A9"/>
    <w:rsid w:val="000A1573"/>
    <w:rsid w:val="00130801"/>
    <w:rsid w:val="00153EFB"/>
    <w:rsid w:val="00165CC4"/>
    <w:rsid w:val="00170A18"/>
    <w:rsid w:val="00182D18"/>
    <w:rsid w:val="00183E59"/>
    <w:rsid w:val="001A412E"/>
    <w:rsid w:val="001D7C26"/>
    <w:rsid w:val="001F7CD4"/>
    <w:rsid w:val="00210EF3"/>
    <w:rsid w:val="00246B82"/>
    <w:rsid w:val="00255DF1"/>
    <w:rsid w:val="002B4F66"/>
    <w:rsid w:val="002D4502"/>
    <w:rsid w:val="00326928"/>
    <w:rsid w:val="003271DE"/>
    <w:rsid w:val="003337DE"/>
    <w:rsid w:val="00352AB3"/>
    <w:rsid w:val="0036491A"/>
    <w:rsid w:val="00370E97"/>
    <w:rsid w:val="003753E1"/>
    <w:rsid w:val="003854B4"/>
    <w:rsid w:val="003B6390"/>
    <w:rsid w:val="003B7A31"/>
    <w:rsid w:val="003D3670"/>
    <w:rsid w:val="004234DA"/>
    <w:rsid w:val="00433535"/>
    <w:rsid w:val="004472FE"/>
    <w:rsid w:val="004801F0"/>
    <w:rsid w:val="00480CE7"/>
    <w:rsid w:val="00494B5C"/>
    <w:rsid w:val="004C7686"/>
    <w:rsid w:val="005022A8"/>
    <w:rsid w:val="005307CD"/>
    <w:rsid w:val="0053277B"/>
    <w:rsid w:val="00592D6F"/>
    <w:rsid w:val="005D1CCF"/>
    <w:rsid w:val="005D5AC1"/>
    <w:rsid w:val="005F6C07"/>
    <w:rsid w:val="00606A10"/>
    <w:rsid w:val="006252AB"/>
    <w:rsid w:val="00637AF6"/>
    <w:rsid w:val="00691FAE"/>
    <w:rsid w:val="006A0E88"/>
    <w:rsid w:val="006B1635"/>
    <w:rsid w:val="006C1C89"/>
    <w:rsid w:val="006D54F2"/>
    <w:rsid w:val="006E375D"/>
    <w:rsid w:val="006F76D7"/>
    <w:rsid w:val="00725C9B"/>
    <w:rsid w:val="00727886"/>
    <w:rsid w:val="00746AE1"/>
    <w:rsid w:val="0077080A"/>
    <w:rsid w:val="00775CC7"/>
    <w:rsid w:val="00784708"/>
    <w:rsid w:val="00794379"/>
    <w:rsid w:val="007B2CD1"/>
    <w:rsid w:val="00816777"/>
    <w:rsid w:val="00833CE1"/>
    <w:rsid w:val="00844B27"/>
    <w:rsid w:val="008516F0"/>
    <w:rsid w:val="00862241"/>
    <w:rsid w:val="008709A5"/>
    <w:rsid w:val="00884A38"/>
    <w:rsid w:val="008B3DF7"/>
    <w:rsid w:val="008C18B9"/>
    <w:rsid w:val="008F3F51"/>
    <w:rsid w:val="0097648A"/>
    <w:rsid w:val="0099269A"/>
    <w:rsid w:val="009E04CE"/>
    <w:rsid w:val="009E0BBF"/>
    <w:rsid w:val="009F6695"/>
    <w:rsid w:val="00A76A46"/>
    <w:rsid w:val="00AC6A01"/>
    <w:rsid w:val="00AD3028"/>
    <w:rsid w:val="00B254F2"/>
    <w:rsid w:val="00B40E8D"/>
    <w:rsid w:val="00B52BA7"/>
    <w:rsid w:val="00B83B1F"/>
    <w:rsid w:val="00B94FDA"/>
    <w:rsid w:val="00BA5795"/>
    <w:rsid w:val="00BA6470"/>
    <w:rsid w:val="00BB4816"/>
    <w:rsid w:val="00BC5446"/>
    <w:rsid w:val="00BD0035"/>
    <w:rsid w:val="00BE450F"/>
    <w:rsid w:val="00C7174D"/>
    <w:rsid w:val="00C72F19"/>
    <w:rsid w:val="00CC0E0C"/>
    <w:rsid w:val="00CD3ED5"/>
    <w:rsid w:val="00D02143"/>
    <w:rsid w:val="00D14B26"/>
    <w:rsid w:val="00D14D4A"/>
    <w:rsid w:val="00D26966"/>
    <w:rsid w:val="00D26D3F"/>
    <w:rsid w:val="00D3101F"/>
    <w:rsid w:val="00D6216B"/>
    <w:rsid w:val="00D64E22"/>
    <w:rsid w:val="00DA60FA"/>
    <w:rsid w:val="00DC1561"/>
    <w:rsid w:val="00DC5A92"/>
    <w:rsid w:val="00DD433E"/>
    <w:rsid w:val="00E00645"/>
    <w:rsid w:val="00E028A7"/>
    <w:rsid w:val="00E758BB"/>
    <w:rsid w:val="00E81F36"/>
    <w:rsid w:val="00E951E6"/>
    <w:rsid w:val="00EA7305"/>
    <w:rsid w:val="00EC067F"/>
    <w:rsid w:val="00ED64D3"/>
    <w:rsid w:val="00ED712A"/>
    <w:rsid w:val="00EF3F11"/>
    <w:rsid w:val="00F00E5F"/>
    <w:rsid w:val="00F10D1B"/>
    <w:rsid w:val="00F25257"/>
    <w:rsid w:val="00F80C92"/>
    <w:rsid w:val="00FC3477"/>
    <w:rsid w:val="00FE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FE"/>
  </w:style>
  <w:style w:type="paragraph" w:styleId="1">
    <w:name w:val="heading 1"/>
    <w:basedOn w:val="a"/>
    <w:link w:val="10"/>
    <w:uiPriority w:val="9"/>
    <w:qFormat/>
    <w:rsid w:val="00CC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15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laceholder Text"/>
    <w:basedOn w:val="a0"/>
    <w:uiPriority w:val="99"/>
    <w:semiHidden/>
    <w:rsid w:val="00DA60FA"/>
    <w:rPr>
      <w:color w:val="808080"/>
    </w:rPr>
  </w:style>
  <w:style w:type="table" w:styleId="a7">
    <w:name w:val="Table Grid"/>
    <w:basedOn w:val="a1"/>
    <w:uiPriority w:val="59"/>
    <w:rsid w:val="0005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1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rsid w:val="00FE4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2019-02-14T11:56:00Z</dcterms:created>
  <dcterms:modified xsi:type="dcterms:W3CDTF">2020-12-09T10:05:00Z</dcterms:modified>
</cp:coreProperties>
</file>