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A2" w:rsidRDefault="00973BA2" w:rsidP="00973BA2">
      <w:pPr>
        <w:pStyle w:val="3"/>
        <w:rPr>
          <w:rFonts w:eastAsia="Times New Roman"/>
          <w:lang w:eastAsia="ru-RU"/>
        </w:rPr>
      </w:pPr>
      <w:bookmarkStart w:id="0" w:name="_Toc443334228"/>
      <w:r w:rsidRPr="00451102">
        <w:rPr>
          <w:rFonts w:eastAsia="Times New Roman"/>
          <w:lang w:eastAsia="ru-RU"/>
        </w:rPr>
        <w:t xml:space="preserve"> </w:t>
      </w:r>
      <w:r>
        <w:rPr>
          <w:rFonts w:eastAsia="Times New Roman"/>
          <w:lang w:eastAsia="ru-RU"/>
        </w:rPr>
        <w:t xml:space="preserve">Лекция </w:t>
      </w:r>
    </w:p>
    <w:p w:rsidR="00973BA2" w:rsidRDefault="00973BA2" w:rsidP="00973BA2">
      <w:pPr>
        <w:pStyle w:val="3"/>
        <w:rPr>
          <w:rFonts w:eastAsia="Times New Roman"/>
          <w:lang w:eastAsia="ru-RU"/>
        </w:rPr>
      </w:pPr>
      <w:bookmarkStart w:id="1" w:name="_GoBack"/>
      <w:bookmarkEnd w:id="1"/>
      <w:r w:rsidRPr="002E30E1">
        <w:rPr>
          <w:rFonts w:eastAsia="Times New Roman"/>
          <w:lang w:eastAsia="ru-RU"/>
        </w:rPr>
        <w:t xml:space="preserve">Оценка экономической эффективности </w:t>
      </w:r>
      <w:r>
        <w:rPr>
          <w:rFonts w:eastAsia="Times New Roman"/>
          <w:lang w:eastAsia="ru-RU"/>
        </w:rPr>
        <w:t>на основе динамических методов</w:t>
      </w:r>
      <w:bookmarkEnd w:id="0"/>
      <w:r>
        <w:rPr>
          <w:rFonts w:eastAsia="Times New Roman"/>
          <w:lang w:eastAsia="ru-RU"/>
        </w:rPr>
        <w:t xml:space="preserve"> </w:t>
      </w:r>
    </w:p>
    <w:p w:rsidR="00973BA2" w:rsidRPr="00C87121" w:rsidRDefault="00973BA2" w:rsidP="00973BA2">
      <w:pPr>
        <w:rPr>
          <w:lang w:eastAsia="ru-RU"/>
        </w:rPr>
      </w:pPr>
    </w:p>
    <w:p w:rsidR="00973BA2" w:rsidRDefault="00973BA2" w:rsidP="00973BA2">
      <w:pPr>
        <w:rPr>
          <w:rFonts w:eastAsia="Times New Roman" w:cs="Times New Roman"/>
          <w:bCs/>
          <w:color w:val="000000"/>
          <w:sz w:val="28"/>
          <w:szCs w:val="28"/>
          <w:lang w:eastAsia="ru-RU"/>
        </w:rPr>
      </w:pPr>
      <w:r>
        <w:rPr>
          <w:rFonts w:eastAsia="Times New Roman" w:cs="Times New Roman"/>
          <w:bCs/>
          <w:color w:val="000000"/>
          <w:sz w:val="28"/>
          <w:szCs w:val="28"/>
          <w:lang w:eastAsia="ru-RU"/>
        </w:rPr>
        <w:t xml:space="preserve">При оценке эффективности мероприятий можно использовать методы оценки эффективности проектов такие как: </w:t>
      </w:r>
    </w:p>
    <w:p w:rsidR="00973BA2" w:rsidRPr="0017292C" w:rsidRDefault="00973BA2" w:rsidP="00973BA2">
      <w:pPr>
        <w:pStyle w:val="a3"/>
        <w:numPr>
          <w:ilvl w:val="0"/>
          <w:numId w:val="1"/>
        </w:numPr>
        <w:spacing w:line="360" w:lineRule="auto"/>
        <w:ind w:left="0" w:firstLine="0"/>
        <w:rPr>
          <w:rFonts w:asciiTheme="minorHAnsi" w:eastAsia="Times New Roman" w:hAnsiTheme="minorHAnsi" w:cstheme="minorHAnsi"/>
          <w:bCs/>
          <w:color w:val="000000"/>
          <w:sz w:val="28"/>
          <w:szCs w:val="28"/>
          <w:lang w:eastAsia="ru-RU"/>
        </w:rPr>
      </w:pPr>
      <w:r w:rsidRPr="0017292C">
        <w:rPr>
          <w:rFonts w:asciiTheme="minorHAnsi" w:eastAsia="Times New Roman" w:hAnsiTheme="minorHAnsi" w:cstheme="minorHAnsi"/>
          <w:bCs/>
          <w:color w:val="000000"/>
          <w:sz w:val="28"/>
          <w:szCs w:val="28"/>
          <w:lang w:eastAsia="ru-RU"/>
        </w:rPr>
        <w:t>Метод чистой  текущей стоимости NPV (</w:t>
      </w:r>
      <w:proofErr w:type="spellStart"/>
      <w:r w:rsidRPr="0017292C">
        <w:rPr>
          <w:rFonts w:asciiTheme="minorHAnsi" w:eastAsia="Times New Roman" w:hAnsiTheme="minorHAnsi" w:cstheme="minorHAnsi"/>
          <w:bCs/>
          <w:color w:val="000000"/>
          <w:sz w:val="28"/>
          <w:szCs w:val="28"/>
          <w:lang w:eastAsia="ru-RU"/>
        </w:rPr>
        <w:t>Net</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Present</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Value</w:t>
      </w:r>
      <w:proofErr w:type="spellEnd"/>
      <w:r w:rsidRPr="0017292C">
        <w:rPr>
          <w:rFonts w:asciiTheme="minorHAnsi" w:eastAsia="Times New Roman" w:hAnsiTheme="minorHAnsi" w:cstheme="minorHAnsi"/>
          <w:bCs/>
          <w:color w:val="000000"/>
          <w:sz w:val="28"/>
          <w:szCs w:val="28"/>
          <w:lang w:eastAsia="ru-RU"/>
        </w:rPr>
        <w:t xml:space="preserve">); </w:t>
      </w:r>
    </w:p>
    <w:p w:rsidR="00973BA2" w:rsidRPr="0017292C" w:rsidRDefault="00973BA2" w:rsidP="00973BA2">
      <w:pPr>
        <w:pStyle w:val="a3"/>
        <w:numPr>
          <w:ilvl w:val="0"/>
          <w:numId w:val="1"/>
        </w:numPr>
        <w:spacing w:line="360" w:lineRule="auto"/>
        <w:ind w:left="0" w:firstLine="0"/>
        <w:rPr>
          <w:rFonts w:asciiTheme="minorHAnsi" w:eastAsia="Times New Roman" w:hAnsiTheme="minorHAnsi" w:cstheme="minorHAnsi"/>
          <w:bCs/>
          <w:color w:val="000000"/>
          <w:sz w:val="28"/>
          <w:szCs w:val="28"/>
          <w:lang w:eastAsia="ru-RU"/>
        </w:rPr>
      </w:pPr>
      <w:r w:rsidRPr="0017292C">
        <w:rPr>
          <w:rFonts w:asciiTheme="minorHAnsi" w:eastAsia="Times New Roman" w:hAnsiTheme="minorHAnsi" w:cstheme="minorHAnsi"/>
          <w:bCs/>
          <w:color w:val="000000"/>
          <w:sz w:val="28"/>
          <w:szCs w:val="28"/>
          <w:lang w:eastAsia="ru-RU"/>
        </w:rPr>
        <w:t>Метод расчета индекса рентабельности инвестиций (PI);</w:t>
      </w:r>
    </w:p>
    <w:p w:rsidR="00973BA2" w:rsidRPr="0017292C" w:rsidRDefault="00973BA2" w:rsidP="00973BA2">
      <w:pPr>
        <w:pStyle w:val="a3"/>
        <w:numPr>
          <w:ilvl w:val="0"/>
          <w:numId w:val="1"/>
        </w:numPr>
        <w:spacing w:line="360" w:lineRule="auto"/>
        <w:ind w:left="0" w:firstLine="0"/>
        <w:rPr>
          <w:rFonts w:asciiTheme="minorHAnsi" w:eastAsia="Times New Roman" w:hAnsiTheme="minorHAnsi" w:cstheme="minorHAnsi"/>
          <w:bCs/>
          <w:color w:val="000000"/>
          <w:sz w:val="28"/>
          <w:szCs w:val="28"/>
          <w:lang w:eastAsia="ru-RU"/>
        </w:rPr>
      </w:pPr>
      <w:r w:rsidRPr="0017292C">
        <w:rPr>
          <w:rFonts w:asciiTheme="minorHAnsi" w:eastAsia="Times New Roman" w:hAnsiTheme="minorHAnsi" w:cstheme="minorHAnsi"/>
          <w:bCs/>
          <w:color w:val="000000"/>
          <w:sz w:val="28"/>
          <w:szCs w:val="28"/>
          <w:lang w:eastAsia="ru-RU"/>
        </w:rPr>
        <w:t xml:space="preserve">Метод определения внутренней нормы доходности (прибыли, внутреннего  коэффициента окупаемости, </w:t>
      </w:r>
      <w:proofErr w:type="spellStart"/>
      <w:r w:rsidRPr="0017292C">
        <w:rPr>
          <w:rFonts w:asciiTheme="minorHAnsi" w:eastAsia="Times New Roman" w:hAnsiTheme="minorHAnsi" w:cstheme="minorHAnsi"/>
          <w:bCs/>
          <w:color w:val="000000"/>
          <w:sz w:val="28"/>
          <w:szCs w:val="28"/>
          <w:lang w:eastAsia="ru-RU"/>
        </w:rPr>
        <w:t>Internal</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Rate</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of</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Return</w:t>
      </w:r>
      <w:proofErr w:type="spellEnd"/>
      <w:r w:rsidRPr="0017292C">
        <w:rPr>
          <w:rFonts w:asciiTheme="minorHAnsi" w:eastAsia="Times New Roman" w:hAnsiTheme="minorHAnsi" w:cstheme="minorHAnsi"/>
          <w:bCs/>
          <w:color w:val="000000"/>
          <w:sz w:val="28"/>
          <w:szCs w:val="28"/>
          <w:lang w:eastAsia="ru-RU"/>
        </w:rPr>
        <w:t xml:space="preserve"> – IRR);</w:t>
      </w:r>
    </w:p>
    <w:p w:rsidR="00973BA2" w:rsidRPr="0017292C" w:rsidRDefault="00973BA2" w:rsidP="00973BA2">
      <w:pPr>
        <w:pStyle w:val="a3"/>
        <w:numPr>
          <w:ilvl w:val="0"/>
          <w:numId w:val="1"/>
        </w:numPr>
        <w:spacing w:after="0" w:line="360" w:lineRule="auto"/>
        <w:ind w:left="0" w:firstLine="0"/>
        <w:rPr>
          <w:rFonts w:eastAsia="Times New Roman"/>
          <w:bCs/>
          <w:color w:val="000000"/>
          <w:sz w:val="28"/>
          <w:szCs w:val="28"/>
          <w:lang w:eastAsia="ru-RU"/>
        </w:rPr>
      </w:pPr>
      <w:r w:rsidRPr="0017292C">
        <w:rPr>
          <w:rFonts w:asciiTheme="minorHAnsi" w:eastAsia="Times New Roman" w:hAnsiTheme="minorHAnsi" w:cstheme="minorHAnsi"/>
          <w:bCs/>
          <w:color w:val="000000"/>
          <w:sz w:val="28"/>
          <w:szCs w:val="28"/>
          <w:lang w:eastAsia="ru-RU"/>
        </w:rPr>
        <w:t>Метод определения дисконтированного срока окупаемости инвестиционных вложений</w:t>
      </w:r>
      <w:r>
        <w:rPr>
          <w:rFonts w:asciiTheme="minorHAnsi" w:eastAsia="Times New Roman" w:hAnsiTheme="minorHAnsi" w:cstheme="minorHAnsi"/>
          <w:bCs/>
          <w:color w:val="000000"/>
          <w:sz w:val="28"/>
          <w:szCs w:val="28"/>
          <w:lang w:eastAsia="ru-RU"/>
        </w:rPr>
        <w:t xml:space="preserve"> (</w:t>
      </w:r>
      <w:proofErr w:type="spellStart"/>
      <w:r w:rsidRPr="005C6271">
        <w:rPr>
          <w:rFonts w:asciiTheme="minorHAnsi" w:eastAsia="Times New Roman" w:hAnsiTheme="minorHAnsi" w:cstheme="minorHAnsi"/>
          <w:bCs/>
          <w:color w:val="000000"/>
          <w:sz w:val="28"/>
          <w:szCs w:val="28"/>
          <w:lang w:eastAsia="ru-RU"/>
        </w:rPr>
        <w:t>Discounted</w:t>
      </w:r>
      <w:proofErr w:type="spellEnd"/>
      <w:r w:rsidRPr="005C6271">
        <w:rPr>
          <w:rFonts w:asciiTheme="minorHAnsi" w:eastAsia="Times New Roman" w:hAnsiTheme="minorHAnsi" w:cstheme="minorHAnsi"/>
          <w:bCs/>
          <w:color w:val="000000"/>
          <w:sz w:val="28"/>
          <w:szCs w:val="28"/>
          <w:lang w:eastAsia="ru-RU"/>
        </w:rPr>
        <w:t xml:space="preserve"> </w:t>
      </w:r>
      <w:proofErr w:type="spellStart"/>
      <w:r w:rsidRPr="005C6271">
        <w:rPr>
          <w:rFonts w:asciiTheme="minorHAnsi" w:eastAsia="Times New Roman" w:hAnsiTheme="minorHAnsi" w:cstheme="minorHAnsi"/>
          <w:bCs/>
          <w:color w:val="000000"/>
          <w:sz w:val="28"/>
          <w:szCs w:val="28"/>
          <w:lang w:eastAsia="ru-RU"/>
        </w:rPr>
        <w:t>Payback</w:t>
      </w:r>
      <w:proofErr w:type="spellEnd"/>
      <w:r w:rsidRPr="005C6271">
        <w:rPr>
          <w:rFonts w:asciiTheme="minorHAnsi" w:eastAsia="Times New Roman" w:hAnsiTheme="minorHAnsi" w:cstheme="minorHAnsi"/>
          <w:bCs/>
          <w:color w:val="000000"/>
          <w:sz w:val="28"/>
          <w:szCs w:val="28"/>
          <w:lang w:eastAsia="ru-RU"/>
        </w:rPr>
        <w:t xml:space="preserve"> </w:t>
      </w:r>
      <w:proofErr w:type="spellStart"/>
      <w:r w:rsidRPr="005C6271">
        <w:rPr>
          <w:rFonts w:asciiTheme="minorHAnsi" w:eastAsia="Times New Roman" w:hAnsiTheme="minorHAnsi" w:cstheme="minorHAnsi"/>
          <w:bCs/>
          <w:color w:val="000000"/>
          <w:sz w:val="28"/>
          <w:szCs w:val="28"/>
          <w:lang w:eastAsia="ru-RU"/>
        </w:rPr>
        <w:t>Period</w:t>
      </w:r>
      <w:proofErr w:type="spellEnd"/>
      <w:r w:rsidRPr="005C6271">
        <w:rPr>
          <w:rFonts w:asciiTheme="minorHAnsi" w:eastAsia="Times New Roman" w:hAnsiTheme="minorHAnsi" w:cstheme="minorHAnsi"/>
          <w:bCs/>
          <w:color w:val="000000"/>
          <w:sz w:val="28"/>
          <w:szCs w:val="28"/>
          <w:lang w:eastAsia="ru-RU"/>
        </w:rPr>
        <w:t>, DPP)</w:t>
      </w:r>
      <w:r w:rsidRPr="0017292C">
        <w:rPr>
          <w:rFonts w:asciiTheme="minorHAnsi" w:eastAsia="Times New Roman" w:hAnsiTheme="minorHAnsi" w:cstheme="minorHAnsi"/>
          <w:bCs/>
          <w:color w:val="000000"/>
          <w:sz w:val="28"/>
          <w:szCs w:val="28"/>
          <w:lang w:eastAsia="ru-RU"/>
        </w:rPr>
        <w:t xml:space="preserve"> </w:t>
      </w:r>
    </w:p>
    <w:p w:rsidR="00973BA2"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Ниже подробно приведем описание назначения этих показателей и рассмотрим порядок их расчета. </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Чистая текущая стоимость NPV (</w:t>
      </w:r>
      <w:proofErr w:type="spellStart"/>
      <w:r w:rsidRPr="00C87121">
        <w:rPr>
          <w:rFonts w:eastAsia="Times New Roman" w:cs="Times New Roman"/>
          <w:bCs/>
          <w:color w:val="000000"/>
          <w:sz w:val="28"/>
          <w:szCs w:val="28"/>
          <w:lang w:eastAsia="ru-RU"/>
        </w:rPr>
        <w:t>Net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Present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Value</w:t>
      </w:r>
      <w:proofErr w:type="spellEnd"/>
      <w:r w:rsidRPr="00C87121">
        <w:rPr>
          <w:rFonts w:eastAsia="Times New Roman" w:cs="Times New Roman"/>
          <w:bCs/>
          <w:color w:val="000000"/>
          <w:sz w:val="28"/>
          <w:szCs w:val="28"/>
          <w:lang w:eastAsia="ru-RU"/>
        </w:rPr>
        <w:t xml:space="preserve">) – это разность между текущей стоимостью денежных поступлений по проекту или инвестиций и текущей стоимостью денежных выплат на получение инвестиций, либо на финансирование проекта, рассчитанная по фиксированной ставке дисконтирования. Другие переводы NPV, </w:t>
      </w:r>
      <w:proofErr w:type="spellStart"/>
      <w:r w:rsidRPr="00C87121">
        <w:rPr>
          <w:rFonts w:eastAsia="Times New Roman" w:cs="Times New Roman"/>
          <w:bCs/>
          <w:color w:val="000000"/>
          <w:sz w:val="28"/>
          <w:szCs w:val="28"/>
          <w:lang w:eastAsia="ru-RU"/>
        </w:rPr>
        <w:t>Net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Present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Value</w:t>
      </w:r>
      <w:proofErr w:type="spellEnd"/>
      <w:r w:rsidRPr="00C87121">
        <w:rPr>
          <w:rFonts w:eastAsia="Times New Roman" w:cs="Times New Roman"/>
          <w:bCs/>
          <w:color w:val="000000"/>
          <w:sz w:val="28"/>
          <w:szCs w:val="28"/>
          <w:lang w:eastAsia="ru-RU"/>
        </w:rPr>
        <w:t>: чистая приведенная стоимость, чистый дисконтированный доход, чистый приведенный эффект.</w:t>
      </w:r>
    </w:p>
    <w:p w:rsidR="00973BA2" w:rsidRPr="00C87121" w:rsidRDefault="00973BA2" w:rsidP="00973BA2">
      <w:pPr>
        <w:rPr>
          <w:rFonts w:eastAsia="Times New Roman" w:cs="Times New Roman"/>
          <w:bCs/>
          <w:color w:val="000000"/>
          <w:sz w:val="28"/>
          <w:szCs w:val="28"/>
          <w:lang w:eastAsia="ru-RU"/>
        </w:rPr>
      </w:pPr>
      <w:r w:rsidRPr="0017292C">
        <w:rPr>
          <w:rFonts w:eastAsia="Times New Roman" w:cs="Times New Roman"/>
          <w:bCs/>
          <w:i/>
          <w:color w:val="000000"/>
          <w:sz w:val="28"/>
          <w:szCs w:val="28"/>
          <w:lang w:eastAsia="ru-RU"/>
        </w:rPr>
        <w:t>Метод чистой текущей стоимости (NPV)</w:t>
      </w:r>
      <w:r w:rsidRPr="00C87121">
        <w:rPr>
          <w:rFonts w:eastAsia="Times New Roman" w:cs="Times New Roman"/>
          <w:bCs/>
          <w:color w:val="000000"/>
          <w:sz w:val="28"/>
          <w:szCs w:val="28"/>
          <w:lang w:eastAsia="ru-RU"/>
        </w:rPr>
        <w:t xml:space="preserve"> состоит в следующем.</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1. Определяется текущая стоимость затрат (</w:t>
      </w:r>
      <w:proofErr w:type="spellStart"/>
      <w:r w:rsidRPr="00C87121">
        <w:rPr>
          <w:rFonts w:eastAsia="Times New Roman" w:cs="Times New Roman"/>
          <w:bCs/>
          <w:color w:val="000000"/>
          <w:sz w:val="28"/>
          <w:szCs w:val="28"/>
          <w:lang w:eastAsia="ru-RU"/>
        </w:rPr>
        <w:t>Io</w:t>
      </w:r>
      <w:proofErr w:type="spellEnd"/>
      <w:r w:rsidRPr="00C87121">
        <w:rPr>
          <w:rFonts w:eastAsia="Times New Roman" w:cs="Times New Roman"/>
          <w:bCs/>
          <w:color w:val="000000"/>
          <w:sz w:val="28"/>
          <w:szCs w:val="28"/>
          <w:lang w:eastAsia="ru-RU"/>
        </w:rPr>
        <w:t>), т.е. решается вопрос, сколько инвестиций нужно зарезервировать для проекта.</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2. Рассчитывается текущая стоимость будущих денежных поступлений от проекта, для чего доходы за каждый год CF (денежный поток) приводятся к текущей дате.</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lastRenderedPageBreak/>
        <w:t>Результаты расчетов показывают, сколько средств нужно было бы вложить сейчас для получения запланированных доходов, если бы ставка доходов была равна барьерной ставке (для инвестора ставке альтернативной доходности, для предприятия цене совокупного капитала). Подытожив текущую стоимость доходов за все годы, получим общую текущую стоимость доходов от проекта (PV).</w:t>
      </w:r>
    </w:p>
    <w:p w:rsidR="00973BA2" w:rsidRPr="001C4619" w:rsidRDefault="00973BA2" w:rsidP="00973BA2">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m:t>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oMath>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ab/>
      </w:r>
      <w:r w:rsidRPr="00C87121">
        <w:rPr>
          <w:rFonts w:eastAsia="Times New Roman" w:cs="Times New Roman"/>
          <w:bCs/>
          <w:color w:val="000000"/>
          <w:sz w:val="28"/>
          <w:szCs w:val="28"/>
          <w:lang w:eastAsia="ru-RU"/>
        </w:rPr>
        <w:fldChar w:fldCharType="begin"/>
      </w:r>
      <w:r w:rsidRPr="00C87121">
        <w:rPr>
          <w:rFonts w:eastAsia="Times New Roman" w:cs="Times New Roman"/>
          <w:bCs/>
          <w:color w:val="000000"/>
          <w:sz w:val="28"/>
          <w:szCs w:val="28"/>
          <w:lang w:eastAsia="ru-RU"/>
        </w:rPr>
        <w:instrText xml:space="preserve"> QUOTE </w:instrText>
      </w:r>
      <m:oMath>
        <m:r>
          <m:rPr>
            <m:sty m:val="p"/>
          </m:rPr>
          <w:rPr>
            <w:rFonts w:ascii="Cambria Math" w:eastAsia="Times New Roman" w:hAnsi="Cambria Math" w:cs="Times New Roman"/>
            <w:color w:val="000000"/>
            <w:sz w:val="28"/>
            <w:szCs w:val="28"/>
            <w:lang w:eastAsia="ru-RU"/>
          </w:rPr>
          <m:t>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e>
        </m:nary>
      </m:oMath>
      <w:r w:rsidRPr="00C87121">
        <w:rPr>
          <w:rFonts w:eastAsia="Times New Roman" w:cs="Times New Roman"/>
          <w:bCs/>
          <w:color w:val="000000"/>
          <w:sz w:val="28"/>
          <w:szCs w:val="28"/>
          <w:lang w:eastAsia="ru-RU"/>
        </w:rPr>
        <w:instrText xml:space="preserve"> </w:instrText>
      </w:r>
      <w:r w:rsidRPr="00C87121">
        <w:rPr>
          <w:rFonts w:eastAsia="Times New Roman" w:cs="Times New Roman"/>
          <w:bCs/>
          <w:color w:val="000000"/>
          <w:sz w:val="28"/>
          <w:szCs w:val="28"/>
          <w:lang w:eastAsia="ru-RU"/>
        </w:rPr>
        <w:fldChar w:fldCharType="end"/>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2.27</w:t>
      </w:r>
      <w:r w:rsidRPr="00C87121">
        <w:rPr>
          <w:rFonts w:eastAsia="Times New Roman" w:cs="Times New Roman"/>
          <w:bCs/>
          <w:color w:val="000000"/>
          <w:sz w:val="28"/>
          <w:szCs w:val="28"/>
          <w:lang w:eastAsia="ru-RU"/>
        </w:rPr>
        <w:t>)</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3. Текущая стоимость инвестиционных затрат (</w:t>
      </w:r>
      <w:proofErr w:type="spellStart"/>
      <w:r w:rsidRPr="00C87121">
        <w:rPr>
          <w:rFonts w:eastAsia="Times New Roman" w:cs="Times New Roman"/>
          <w:bCs/>
          <w:color w:val="000000"/>
          <w:sz w:val="28"/>
          <w:szCs w:val="28"/>
          <w:lang w:eastAsia="ru-RU"/>
        </w:rPr>
        <w:t>Io</w:t>
      </w:r>
      <w:proofErr w:type="spellEnd"/>
      <w:r w:rsidRPr="00C87121">
        <w:rPr>
          <w:rFonts w:eastAsia="Times New Roman" w:cs="Times New Roman"/>
          <w:bCs/>
          <w:color w:val="000000"/>
          <w:sz w:val="28"/>
          <w:szCs w:val="28"/>
          <w:lang w:eastAsia="ru-RU"/>
        </w:rPr>
        <w:t>) сравнивается с текущей стоимостью доходов (PV). Разность между ними составляет чистую текущую стоимость доходов (NPV):</w:t>
      </w:r>
    </w:p>
    <w:p w:rsidR="00973BA2" w:rsidRPr="00C87121" w:rsidRDefault="00973BA2" w:rsidP="00973BA2">
      <w:pPr>
        <w:tabs>
          <w:tab w:val="left" w:pos="7088"/>
        </w:tabs>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NPV = PV – </w:t>
      </w:r>
      <w:proofErr w:type="spellStart"/>
      <w:r w:rsidRPr="00C87121">
        <w:rPr>
          <w:rFonts w:eastAsia="Times New Roman" w:cs="Times New Roman"/>
          <w:bCs/>
          <w:color w:val="000000"/>
          <w:sz w:val="28"/>
          <w:szCs w:val="28"/>
          <w:lang w:eastAsia="ru-RU"/>
        </w:rPr>
        <w:t>Io</w:t>
      </w:r>
      <w:proofErr w:type="spellEnd"/>
      <w:r>
        <w:rPr>
          <w:rFonts w:eastAsia="Times New Roman" w:cs="Times New Roman"/>
          <w:bCs/>
          <w:color w:val="000000"/>
          <w:sz w:val="28"/>
          <w:szCs w:val="28"/>
          <w:lang w:eastAsia="ru-RU"/>
        </w:rPr>
        <w:tab/>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2.28</w:t>
      </w:r>
      <w:r w:rsidRPr="00C87121">
        <w:rPr>
          <w:rFonts w:eastAsia="Times New Roman" w:cs="Times New Roman"/>
          <w:bCs/>
          <w:color w:val="000000"/>
          <w:sz w:val="28"/>
          <w:szCs w:val="28"/>
          <w:lang w:eastAsia="ru-RU"/>
        </w:rPr>
        <w:t>)</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NPV показывает чистые доходы или чистые убытки инвестора </w:t>
      </w:r>
      <w:proofErr w:type="gramStart"/>
      <w:r w:rsidRPr="00C87121">
        <w:rPr>
          <w:rFonts w:eastAsia="Times New Roman" w:cs="Times New Roman"/>
          <w:bCs/>
          <w:color w:val="000000"/>
          <w:sz w:val="28"/>
          <w:szCs w:val="28"/>
          <w:lang w:eastAsia="ru-RU"/>
        </w:rPr>
        <w:t>от помещения денег в проект по сравнению с хранением денег в банке</w:t>
      </w:r>
      <w:proofErr w:type="gramEnd"/>
      <w:r w:rsidRPr="00C87121">
        <w:rPr>
          <w:rFonts w:eastAsia="Times New Roman" w:cs="Times New Roman"/>
          <w:bCs/>
          <w:color w:val="000000"/>
          <w:sz w:val="28"/>
          <w:szCs w:val="28"/>
          <w:lang w:eastAsia="ru-RU"/>
        </w:rPr>
        <w:t xml:space="preserve">. Если NPV больше 0, то можно считать, что инвестиция приумножит богатство предприятия и инвестицию следует осуществлять. При NPV меньше 0, то </w:t>
      </w:r>
      <w:proofErr w:type="gramStart"/>
      <w:r w:rsidRPr="00C87121">
        <w:rPr>
          <w:rFonts w:eastAsia="Times New Roman" w:cs="Times New Roman"/>
          <w:bCs/>
          <w:color w:val="000000"/>
          <w:sz w:val="28"/>
          <w:szCs w:val="28"/>
          <w:lang w:eastAsia="ru-RU"/>
        </w:rPr>
        <w:t>значит доходы от предложенной инвестиции недостаточно высоки</w:t>
      </w:r>
      <w:proofErr w:type="gramEnd"/>
      <w:r w:rsidRPr="00C87121">
        <w:rPr>
          <w:rFonts w:eastAsia="Times New Roman" w:cs="Times New Roman"/>
          <w:bCs/>
          <w:color w:val="000000"/>
          <w:sz w:val="28"/>
          <w:szCs w:val="28"/>
          <w:lang w:eastAsia="ru-RU"/>
        </w:rPr>
        <w:t>, чтобы компенсировать риск, присущий данному проекту (или с точки зрения цены капитала не хватит денег на выплату дивидендов и процентов по кредитам) и инвестиционный меморандум должен быть отклонен.</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Чистая текущая стоимость (NPV) это один из основных </w:t>
      </w:r>
      <w:proofErr w:type="gramStart"/>
      <w:r w:rsidRPr="00C87121">
        <w:rPr>
          <w:rFonts w:eastAsia="Times New Roman" w:cs="Times New Roman"/>
          <w:bCs/>
          <w:color w:val="000000"/>
          <w:sz w:val="28"/>
          <w:szCs w:val="28"/>
          <w:lang w:eastAsia="ru-RU"/>
        </w:rPr>
        <w:t>показателей</w:t>
      </w:r>
      <w:proofErr w:type="gramEnd"/>
      <w:r w:rsidRPr="00C87121">
        <w:rPr>
          <w:rFonts w:eastAsia="Times New Roman" w:cs="Times New Roman"/>
          <w:bCs/>
          <w:color w:val="000000"/>
          <w:sz w:val="28"/>
          <w:szCs w:val="28"/>
          <w:lang w:eastAsia="ru-RU"/>
        </w:rPr>
        <w:t xml:space="preserve"> используемых при инвестиционном анализе, но он имеет несколько недостатков и не может быть единственным средством оценки инвестиции. NPV определяет абсолютную величину отдачи от инвестиции, и, скорее всего, чем больше инвестиция, тем больше чистая текущая стоимость. Отсюда, сравнение нескольких инвестиций разного размера с помощью этого показателя невозможно. Кроме этого, NPV не определяет период, через который инвестиция окупится.</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Если капитальные вложения, связанные с предстоящей реализацией проекта, осуществляют в несколько этапов (интервалов), то расчет показателя NPV производят по следующей формуле:</w:t>
      </w:r>
    </w:p>
    <w:p w:rsidR="00973BA2" w:rsidRPr="00C87121" w:rsidRDefault="00973BA2" w:rsidP="00973BA2">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w:lastRenderedPageBreak/>
          <m:t>NPV=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oMath>
      <w:r w:rsidRPr="00C87121">
        <w:rPr>
          <w:rFonts w:eastAsia="Times New Roman" w:cs="Times New Roman"/>
          <w:bCs/>
          <w:color w:val="000000"/>
          <w:sz w:val="28"/>
          <w:szCs w:val="28"/>
          <w:lang w:eastAsia="ru-RU"/>
        </w:rPr>
        <w:fldChar w:fldCharType="begin"/>
      </w:r>
      <w:r w:rsidRPr="00C87121">
        <w:rPr>
          <w:rFonts w:eastAsia="Times New Roman" w:cs="Times New Roman"/>
          <w:bCs/>
          <w:color w:val="000000"/>
          <w:sz w:val="28"/>
          <w:szCs w:val="28"/>
          <w:lang w:eastAsia="ru-RU"/>
        </w:rPr>
        <w:instrText xml:space="preserve"> QUOTE </w:instrText>
      </w:r>
      <m:oMath>
        <m:r>
          <m:rPr>
            <m:sty m:val="p"/>
          </m:rPr>
          <w:rPr>
            <w:rFonts w:ascii="Cambria Math" w:eastAsia="Times New Roman" w:hAnsi="Cambria Math" w:cs="Times New Roman"/>
            <w:color w:val="000000"/>
            <w:sz w:val="28"/>
            <w:szCs w:val="28"/>
            <w:lang w:eastAsia="ru-RU"/>
          </w:rPr>
          <m:t>NPV=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 xml:space="preserve">,   </m:t>
        </m:r>
      </m:oMath>
      <w:r w:rsidRPr="00C87121">
        <w:rPr>
          <w:rFonts w:eastAsia="Times New Roman" w:cs="Times New Roman"/>
          <w:bCs/>
          <w:color w:val="000000"/>
          <w:sz w:val="28"/>
          <w:szCs w:val="28"/>
          <w:lang w:eastAsia="ru-RU"/>
        </w:rPr>
        <w:instrText xml:space="preserve"> </w:instrText>
      </w:r>
      <w:r w:rsidRPr="00C87121">
        <w:rPr>
          <w:rFonts w:eastAsia="Times New Roman" w:cs="Times New Roman"/>
          <w:bCs/>
          <w:color w:val="000000"/>
          <w:sz w:val="28"/>
          <w:szCs w:val="28"/>
          <w:lang w:eastAsia="ru-RU"/>
        </w:rPr>
        <w:fldChar w:fldCharType="end"/>
      </w:r>
      <w:r>
        <w:rPr>
          <w:rFonts w:eastAsia="Times New Roman" w:cs="Times New Roman"/>
          <w:bCs/>
          <w:color w:val="000000"/>
          <w:sz w:val="28"/>
          <w:szCs w:val="28"/>
          <w:lang w:eastAsia="ru-RU"/>
        </w:rPr>
        <w:tab/>
        <w:t>(2.29</w:t>
      </w:r>
      <w:r w:rsidRPr="00C87121">
        <w:rPr>
          <w:rFonts w:eastAsia="Times New Roman" w:cs="Times New Roman"/>
          <w:bCs/>
          <w:color w:val="000000"/>
          <w:sz w:val="28"/>
          <w:szCs w:val="28"/>
          <w:lang w:eastAsia="ru-RU"/>
        </w:rPr>
        <w:t>)</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где  </w:t>
      </w:r>
      <w:proofErr w:type="spellStart"/>
      <w:r w:rsidRPr="00C87121">
        <w:rPr>
          <w:rFonts w:eastAsia="Times New Roman" w:cs="Times New Roman"/>
          <w:bCs/>
          <w:color w:val="000000"/>
          <w:sz w:val="28"/>
          <w:szCs w:val="28"/>
          <w:lang w:eastAsia="ru-RU"/>
        </w:rPr>
        <w:t>CFt</w:t>
      </w:r>
      <w:proofErr w:type="spellEnd"/>
      <w:r w:rsidRPr="00C87121">
        <w:rPr>
          <w:rFonts w:eastAsia="Times New Roman" w:cs="Times New Roman"/>
          <w:bCs/>
          <w:color w:val="000000"/>
          <w:sz w:val="28"/>
          <w:szCs w:val="28"/>
          <w:lang w:eastAsia="ru-RU"/>
        </w:rPr>
        <w:t xml:space="preserve"> – приток денежных сре</w:t>
      </w:r>
      <w:proofErr w:type="gramStart"/>
      <w:r w:rsidRPr="00C87121">
        <w:rPr>
          <w:rFonts w:eastAsia="Times New Roman" w:cs="Times New Roman"/>
          <w:bCs/>
          <w:color w:val="000000"/>
          <w:sz w:val="28"/>
          <w:szCs w:val="28"/>
          <w:lang w:eastAsia="ru-RU"/>
        </w:rPr>
        <w:t>дств в п</w:t>
      </w:r>
      <w:proofErr w:type="gramEnd"/>
      <w:r w:rsidRPr="00C87121">
        <w:rPr>
          <w:rFonts w:eastAsia="Times New Roman" w:cs="Times New Roman"/>
          <w:bCs/>
          <w:color w:val="000000"/>
          <w:sz w:val="28"/>
          <w:szCs w:val="28"/>
          <w:lang w:eastAsia="ru-RU"/>
        </w:rPr>
        <w:t xml:space="preserve">ериод </w:t>
      </w:r>
      <w:proofErr w:type="spellStart"/>
      <w:r w:rsidRPr="00C87121">
        <w:rPr>
          <w:rFonts w:eastAsia="Times New Roman" w:cs="Times New Roman"/>
          <w:bCs/>
          <w:color w:val="000000"/>
          <w:sz w:val="28"/>
          <w:szCs w:val="28"/>
          <w:lang w:eastAsia="ru-RU"/>
        </w:rPr>
        <w:t>t;It</w:t>
      </w:r>
      <w:proofErr w:type="spellEnd"/>
      <w:r w:rsidRPr="00C87121">
        <w:rPr>
          <w:rFonts w:eastAsia="Times New Roman" w:cs="Times New Roman"/>
          <w:bCs/>
          <w:color w:val="000000"/>
          <w:sz w:val="28"/>
          <w:szCs w:val="28"/>
          <w:lang w:eastAsia="ru-RU"/>
        </w:rPr>
        <w:t xml:space="preserve"> – сумма инвестиций (затраты) в t-ом периоде;</w:t>
      </w:r>
      <w:r>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r – барьерная ставка (ставка дисконтирования);</w:t>
      </w:r>
      <w:r>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n – суммарное число периодов (интервалов, шагов) t = 1, 2, ..., n (или время действия инвестиции).</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Обычно для </w:t>
      </w:r>
      <w:proofErr w:type="spellStart"/>
      <w:r w:rsidRPr="00C87121">
        <w:rPr>
          <w:rFonts w:eastAsia="Times New Roman" w:cs="Times New Roman"/>
          <w:bCs/>
          <w:color w:val="000000"/>
          <w:sz w:val="28"/>
          <w:szCs w:val="28"/>
          <w:lang w:eastAsia="ru-RU"/>
        </w:rPr>
        <w:t>CFt</w:t>
      </w:r>
      <w:proofErr w:type="spellEnd"/>
      <w:r w:rsidRPr="00C87121">
        <w:rPr>
          <w:rFonts w:eastAsia="Times New Roman" w:cs="Times New Roman"/>
          <w:bCs/>
          <w:color w:val="000000"/>
          <w:sz w:val="28"/>
          <w:szCs w:val="28"/>
          <w:lang w:eastAsia="ru-RU"/>
        </w:rPr>
        <w:t xml:space="preserve"> значение t располагается в пределах от 1 до n; в случае, когда </w:t>
      </w:r>
      <w:proofErr w:type="spellStart"/>
      <w:r w:rsidRPr="00C87121">
        <w:rPr>
          <w:rFonts w:eastAsia="Times New Roman" w:cs="Times New Roman"/>
          <w:bCs/>
          <w:color w:val="000000"/>
          <w:sz w:val="28"/>
          <w:szCs w:val="28"/>
          <w:lang w:eastAsia="ru-RU"/>
        </w:rPr>
        <w:t>CF</w:t>
      </w:r>
      <w:proofErr w:type="gramStart"/>
      <w:r w:rsidRPr="00C87121">
        <w:rPr>
          <w:rFonts w:eastAsia="Times New Roman" w:cs="Times New Roman"/>
          <w:bCs/>
          <w:color w:val="000000"/>
          <w:sz w:val="28"/>
          <w:szCs w:val="28"/>
          <w:lang w:eastAsia="ru-RU"/>
        </w:rPr>
        <w:t>о</w:t>
      </w:r>
      <w:proofErr w:type="spellEnd"/>
      <w:proofErr w:type="gramEnd"/>
      <w:r w:rsidRPr="00C87121">
        <w:rPr>
          <w:rFonts w:eastAsia="Times New Roman" w:cs="Times New Roman"/>
          <w:bCs/>
          <w:color w:val="000000"/>
          <w:sz w:val="28"/>
          <w:szCs w:val="28"/>
          <w:lang w:eastAsia="ru-RU"/>
        </w:rPr>
        <w:t xml:space="preserve"> &gt; 0, относят к затратным инвестициям (пример: средства выделенные на экологическую программу).</w:t>
      </w:r>
    </w:p>
    <w:p w:rsidR="00973BA2" w:rsidRPr="00C87121" w:rsidRDefault="00973BA2" w:rsidP="00973BA2">
      <w:pPr>
        <w:rPr>
          <w:rFonts w:eastAsia="Times New Roman" w:cs="Times New Roman"/>
          <w:bCs/>
          <w:color w:val="000000"/>
          <w:sz w:val="28"/>
          <w:szCs w:val="28"/>
          <w:lang w:eastAsia="ru-RU"/>
        </w:rPr>
      </w:pPr>
      <w:r w:rsidRPr="0017292C">
        <w:rPr>
          <w:rFonts w:eastAsia="Times New Roman" w:cs="Times New Roman"/>
          <w:bCs/>
          <w:i/>
          <w:color w:val="000000"/>
          <w:sz w:val="28"/>
          <w:szCs w:val="28"/>
          <w:lang w:eastAsia="ru-RU"/>
        </w:rPr>
        <w:t>Под индексом рентабельности (PI)</w:t>
      </w:r>
      <w:r w:rsidRPr="00C87121">
        <w:rPr>
          <w:rFonts w:eastAsia="Times New Roman" w:cs="Times New Roman"/>
          <w:bCs/>
          <w:color w:val="000000"/>
          <w:sz w:val="28"/>
          <w:szCs w:val="28"/>
          <w:lang w:eastAsia="ru-RU"/>
        </w:rPr>
        <w:t xml:space="preserve"> понимают величину, равную отношению приведенной стоимости ожидаемых потоков денег от реализации проекта к н</w:t>
      </w:r>
      <w:r>
        <w:rPr>
          <w:rFonts w:eastAsia="Times New Roman" w:cs="Times New Roman"/>
          <w:bCs/>
          <w:color w:val="000000"/>
          <w:sz w:val="28"/>
          <w:szCs w:val="28"/>
          <w:lang w:eastAsia="ru-RU"/>
        </w:rPr>
        <w:t xml:space="preserve">ачальной стоимости инвестиций: </w:t>
      </w:r>
    </w:p>
    <w:p w:rsidR="00973BA2" w:rsidRPr="00C87121" w:rsidRDefault="00973BA2" w:rsidP="00973BA2">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m:t>PI=</m:t>
        </m:r>
        <m:f>
          <m:fPr>
            <m:ctrlPr>
              <w:rPr>
                <w:rFonts w:ascii="Cambria Math" w:eastAsia="Times New Roman" w:hAnsi="Cambria Math" w:cs="Times New Roman"/>
                <w:bCs/>
                <w:color w:val="000000"/>
                <w:sz w:val="28"/>
                <w:szCs w:val="28"/>
                <w:lang w:eastAsia="ru-RU"/>
              </w:rPr>
            </m:ctrlPr>
          </m:fPr>
          <m:num>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e>
            </m:nary>
          </m:num>
          <m:den>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0</m:t>
                </m:r>
              </m:sub>
            </m:sSub>
          </m:den>
        </m:f>
      </m:oMath>
      <w:r w:rsidRPr="00C87121">
        <w:rPr>
          <w:rFonts w:eastAsia="Times New Roman" w:cs="Times New Roman"/>
          <w:bCs/>
          <w:color w:val="000000"/>
          <w:sz w:val="28"/>
          <w:szCs w:val="28"/>
          <w:lang w:eastAsia="ru-RU"/>
        </w:rPr>
        <w:t xml:space="preserve">    </w:t>
      </w:r>
      <w:r>
        <w:rPr>
          <w:rFonts w:eastAsia="Times New Roman" w:cs="Times New Roman"/>
          <w:bCs/>
          <w:color w:val="000000"/>
          <w:sz w:val="28"/>
          <w:szCs w:val="28"/>
          <w:lang w:eastAsia="ru-RU"/>
        </w:rPr>
        <w:tab/>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2.30</w:t>
      </w:r>
      <w:r w:rsidRPr="00C87121">
        <w:rPr>
          <w:rFonts w:eastAsia="Times New Roman" w:cs="Times New Roman"/>
          <w:bCs/>
          <w:color w:val="000000"/>
          <w:sz w:val="28"/>
          <w:szCs w:val="28"/>
          <w:lang w:eastAsia="ru-RU"/>
        </w:rPr>
        <w:t>)</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где </w:t>
      </w:r>
      <w:proofErr w:type="spellStart"/>
      <w:r w:rsidRPr="00C87121">
        <w:rPr>
          <w:rFonts w:eastAsia="Times New Roman" w:cs="Times New Roman"/>
          <w:bCs/>
          <w:color w:val="000000"/>
          <w:sz w:val="28"/>
          <w:szCs w:val="28"/>
          <w:lang w:eastAsia="ru-RU"/>
        </w:rPr>
        <w:t>PVt</w:t>
      </w:r>
      <w:proofErr w:type="spellEnd"/>
      <w:r w:rsidRPr="00C87121">
        <w:rPr>
          <w:rFonts w:eastAsia="Times New Roman" w:cs="Times New Roman"/>
          <w:bCs/>
          <w:color w:val="000000"/>
          <w:sz w:val="28"/>
          <w:szCs w:val="28"/>
          <w:lang w:eastAsia="ru-RU"/>
        </w:rPr>
        <w:t xml:space="preserve"> – текущая стоимость будущих денежных поступлений от проекта, рассчитанная по формуле </w:t>
      </w:r>
      <w:r>
        <w:rPr>
          <w:rFonts w:eastAsia="Times New Roman" w:cs="Times New Roman"/>
          <w:bCs/>
          <w:color w:val="000000"/>
          <w:sz w:val="28"/>
          <w:szCs w:val="28"/>
          <w:lang w:eastAsia="ru-RU"/>
        </w:rPr>
        <w:t>2.27</w:t>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 xml:space="preserve"> I</w:t>
      </w:r>
      <w:r>
        <w:rPr>
          <w:rFonts w:eastAsia="Times New Roman" w:cs="Times New Roman"/>
          <w:bCs/>
          <w:color w:val="000000"/>
          <w:sz w:val="28"/>
          <w:szCs w:val="28"/>
          <w:vertAlign w:val="subscript"/>
          <w:lang w:eastAsia="ru-RU"/>
        </w:rPr>
        <w:t>0</w:t>
      </w:r>
      <w:r>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 xml:space="preserve">– первоначальная инвестиция. </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В случае</w:t>
      </w:r>
      <w:proofErr w:type="gramStart"/>
      <w:r w:rsidRPr="00C87121">
        <w:rPr>
          <w:rFonts w:eastAsia="Times New Roman" w:cs="Times New Roman"/>
          <w:bCs/>
          <w:color w:val="000000"/>
          <w:sz w:val="28"/>
          <w:szCs w:val="28"/>
          <w:lang w:eastAsia="ru-RU"/>
        </w:rPr>
        <w:t>,</w:t>
      </w:r>
      <w:proofErr w:type="gramEnd"/>
      <w:r w:rsidRPr="00C87121">
        <w:rPr>
          <w:rFonts w:eastAsia="Times New Roman" w:cs="Times New Roman"/>
          <w:bCs/>
          <w:color w:val="000000"/>
          <w:sz w:val="28"/>
          <w:szCs w:val="28"/>
          <w:lang w:eastAsia="ru-RU"/>
        </w:rPr>
        <w:t xml:space="preserve"> если инвестиции распределены по всему периоду реализации проекта расчет производится по следующей формуле:</w:t>
      </w:r>
    </w:p>
    <w:p w:rsidR="00973BA2" w:rsidRPr="00C87121" w:rsidRDefault="00973BA2" w:rsidP="00973BA2">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m:t>PI=</m:t>
        </m:r>
        <m:f>
          <m:fPr>
            <m:ctrlPr>
              <w:rPr>
                <w:rFonts w:ascii="Cambria Math" w:eastAsia="Times New Roman" w:hAnsi="Cambria Math" w:cs="Times New Roman"/>
                <w:bCs/>
                <w:color w:val="000000"/>
                <w:sz w:val="28"/>
                <w:szCs w:val="28"/>
                <w:lang w:eastAsia="ru-RU"/>
              </w:rPr>
            </m:ctrlPr>
          </m:fPr>
          <m:num>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e>
            </m:nary>
          </m:num>
          <m:den>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den>
        </m:f>
      </m:oMath>
      <w:r>
        <w:rPr>
          <w:rFonts w:eastAsia="Times New Roman" w:cs="Times New Roman"/>
          <w:bCs/>
          <w:color w:val="000000"/>
          <w:sz w:val="28"/>
          <w:szCs w:val="28"/>
          <w:lang w:eastAsia="ru-RU"/>
        </w:rPr>
        <w:t>.</w:t>
      </w:r>
      <w:r>
        <w:rPr>
          <w:rFonts w:eastAsia="Times New Roman" w:cs="Times New Roman"/>
          <w:bCs/>
          <w:color w:val="000000"/>
          <w:sz w:val="28"/>
          <w:szCs w:val="28"/>
          <w:lang w:eastAsia="ru-RU"/>
        </w:rPr>
        <w:tab/>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2.31</w:t>
      </w:r>
      <w:r w:rsidRPr="00C87121">
        <w:rPr>
          <w:rFonts w:eastAsia="Times New Roman" w:cs="Times New Roman"/>
          <w:bCs/>
          <w:color w:val="000000"/>
          <w:sz w:val="28"/>
          <w:szCs w:val="28"/>
          <w:lang w:eastAsia="ru-RU"/>
        </w:rPr>
        <w:t>)</w:t>
      </w:r>
    </w:p>
    <w:p w:rsidR="00973BA2"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При этом если:</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PI&gt;1, то проект следует принять;</w:t>
      </w:r>
      <w:r>
        <w:rPr>
          <w:rFonts w:eastAsia="Times New Roman" w:cs="Times New Roman"/>
          <w:bCs/>
          <w:color w:val="000000"/>
          <w:sz w:val="28"/>
          <w:szCs w:val="28"/>
          <w:lang w:eastAsia="ru-RU"/>
        </w:rPr>
        <w:t xml:space="preserve"> </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при PI&lt;1, то проект следует отвергнуть; </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при PI=1, то проект не является ни прибыльным, ни убыточным.</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В отличие от чистого приведенного эффекта, индекс рентабельности является относительным показателем: он характеризует уровень доходов на единицу затрат, т.е. эффективность вложений – чем больше значение этого показателя, тем выше отдача каждого рубля, инвестированного в данный проект. </w:t>
      </w:r>
      <w:proofErr w:type="gramStart"/>
      <w:r w:rsidRPr="00C87121">
        <w:rPr>
          <w:rFonts w:eastAsia="Times New Roman" w:cs="Times New Roman"/>
          <w:bCs/>
          <w:color w:val="000000"/>
          <w:sz w:val="28"/>
          <w:szCs w:val="28"/>
          <w:lang w:eastAsia="ru-RU"/>
        </w:rPr>
        <w:t xml:space="preserve">Благодаря этому, критерий PI очень удобен при выборе одного проекта из ряда альтернативных, имеющих примерно одинаковые значения NPV (в частности, если два проекта имеют одинаковое значение NPV, но </w:t>
      </w:r>
      <w:r w:rsidRPr="00C87121">
        <w:rPr>
          <w:rFonts w:eastAsia="Times New Roman" w:cs="Times New Roman"/>
          <w:bCs/>
          <w:color w:val="000000"/>
          <w:sz w:val="28"/>
          <w:szCs w:val="28"/>
          <w:lang w:eastAsia="ru-RU"/>
        </w:rPr>
        <w:lastRenderedPageBreak/>
        <w:t xml:space="preserve">разные объемы требуемых инвестиций, то очевидно, что выгоднее тот из них, который обеспечивает большую эффективность вложений), либо при комплектовании портфеля инвестиций с целью максимизации суммарного значения NPV.  </w:t>
      </w:r>
      <w:proofErr w:type="gramEnd"/>
    </w:p>
    <w:p w:rsidR="00973BA2" w:rsidRPr="00C87121" w:rsidRDefault="00973BA2" w:rsidP="00973BA2">
      <w:pPr>
        <w:rPr>
          <w:rFonts w:eastAsia="Times New Roman" w:cs="Times New Roman"/>
          <w:bCs/>
          <w:color w:val="000000"/>
          <w:sz w:val="28"/>
          <w:szCs w:val="28"/>
          <w:lang w:eastAsia="ru-RU"/>
        </w:rPr>
      </w:pPr>
      <w:r w:rsidRPr="0017292C">
        <w:rPr>
          <w:rFonts w:eastAsia="Times New Roman" w:cs="Times New Roman"/>
          <w:bCs/>
          <w:i/>
          <w:color w:val="000000"/>
          <w:sz w:val="28"/>
          <w:szCs w:val="28"/>
          <w:lang w:eastAsia="ru-RU"/>
        </w:rPr>
        <w:t>Внутренняя норма доходности</w:t>
      </w:r>
      <w:r w:rsidRPr="00C87121">
        <w:rPr>
          <w:rFonts w:eastAsia="Times New Roman" w:cs="Times New Roman"/>
          <w:bCs/>
          <w:color w:val="000000"/>
          <w:sz w:val="28"/>
          <w:szCs w:val="28"/>
          <w:lang w:eastAsia="ru-RU"/>
        </w:rPr>
        <w:t xml:space="preserve"> (прибыли, внутренний коэффициент окупаемости, </w:t>
      </w:r>
      <w:proofErr w:type="spellStart"/>
      <w:r w:rsidRPr="00C87121">
        <w:rPr>
          <w:rFonts w:eastAsia="Times New Roman" w:cs="Times New Roman"/>
          <w:bCs/>
          <w:color w:val="000000"/>
          <w:sz w:val="28"/>
          <w:szCs w:val="28"/>
          <w:lang w:eastAsia="ru-RU"/>
        </w:rPr>
        <w:t>Internal</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Rate</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of</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Return</w:t>
      </w:r>
      <w:proofErr w:type="spellEnd"/>
      <w:r w:rsidRPr="00C87121">
        <w:rPr>
          <w:rFonts w:eastAsia="Times New Roman" w:cs="Times New Roman"/>
          <w:bCs/>
          <w:color w:val="000000"/>
          <w:sz w:val="28"/>
          <w:szCs w:val="28"/>
          <w:lang w:eastAsia="ru-RU"/>
        </w:rPr>
        <w:t xml:space="preserve"> – IRR) – норма прибыли, порожденная инвестицией. Это та норма прибыли (барьерная ставка, ставка дисконтирования), при которой чистая текущая стоимость инвестиции равна нулю, или это та ставка дисконта, при которой дисконтированные доходы от проекта равны инвестиционным затратам. Внутренняя норма доходности определяет максимально приемлемую ставку дисконта, при которой можно инвестировать средства без каких-либо потерь для собственника.</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IRR = r, при </w:t>
      </w:r>
      <w:proofErr w:type="gramStart"/>
      <w:r w:rsidRPr="00C87121">
        <w:rPr>
          <w:rFonts w:eastAsia="Times New Roman" w:cs="Times New Roman"/>
          <w:bCs/>
          <w:color w:val="000000"/>
          <w:sz w:val="28"/>
          <w:szCs w:val="28"/>
          <w:lang w:eastAsia="ru-RU"/>
        </w:rPr>
        <w:t>котором</w:t>
      </w:r>
      <w:proofErr w:type="gramEnd"/>
      <w:r w:rsidRPr="00C87121">
        <w:rPr>
          <w:rFonts w:eastAsia="Times New Roman" w:cs="Times New Roman"/>
          <w:bCs/>
          <w:color w:val="000000"/>
          <w:sz w:val="28"/>
          <w:szCs w:val="28"/>
          <w:lang w:eastAsia="ru-RU"/>
        </w:rPr>
        <w:t xml:space="preserve"> NPV = f(r) = 0, ее значение находят из следующего уравнения:</w:t>
      </w:r>
    </w:p>
    <w:p w:rsidR="00973BA2" w:rsidRPr="00C87121" w:rsidRDefault="00973BA2" w:rsidP="00973BA2">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m:t>NPV</m:t>
        </m:r>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IRR</m:t>
            </m:r>
          </m:e>
        </m:d>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(1+IRR)</m:t>
                    </m:r>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1+IRR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=0</m:t>
        </m:r>
      </m:oMath>
      <w:r w:rsidRPr="00C87121">
        <w:rPr>
          <w:rFonts w:eastAsia="Times New Roman" w:cs="Times New Roman"/>
          <w:bCs/>
          <w:color w:val="000000"/>
          <w:sz w:val="28"/>
          <w:szCs w:val="28"/>
          <w:lang w:eastAsia="ru-RU"/>
        </w:rPr>
        <w:fldChar w:fldCharType="begin"/>
      </w:r>
      <w:r w:rsidRPr="00C87121">
        <w:rPr>
          <w:rFonts w:eastAsia="Times New Roman" w:cs="Times New Roman"/>
          <w:bCs/>
          <w:color w:val="000000"/>
          <w:sz w:val="28"/>
          <w:szCs w:val="28"/>
          <w:lang w:eastAsia="ru-RU"/>
        </w:rPr>
        <w:instrText xml:space="preserve"> QUOTE </w:instrText>
      </w:r>
      <m:oMath>
        <m:r>
          <m:rPr>
            <m:sty m:val="p"/>
          </m:rPr>
          <w:rPr>
            <w:rFonts w:ascii="Cambria Math" w:eastAsia="Times New Roman" w:hAnsi="Cambria Math" w:cs="Times New Roman"/>
            <w:color w:val="000000"/>
            <w:sz w:val="28"/>
            <w:szCs w:val="28"/>
            <w:lang w:eastAsia="ru-RU"/>
          </w:rPr>
          <m:t>NPV</m:t>
        </m:r>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IRR</m:t>
            </m:r>
          </m:e>
        </m:d>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1+IRR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1+IRR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=0</m:t>
        </m:r>
      </m:oMath>
      <w:r w:rsidRPr="00C87121">
        <w:rPr>
          <w:rFonts w:eastAsia="Times New Roman" w:cs="Times New Roman"/>
          <w:bCs/>
          <w:color w:val="000000"/>
          <w:sz w:val="28"/>
          <w:szCs w:val="28"/>
          <w:lang w:eastAsia="ru-RU"/>
        </w:rPr>
        <w:instrText xml:space="preserve"> </w:instrText>
      </w:r>
      <w:r w:rsidRPr="00C87121">
        <w:rPr>
          <w:rFonts w:eastAsia="Times New Roman" w:cs="Times New Roman"/>
          <w:bCs/>
          <w:color w:val="000000"/>
          <w:sz w:val="28"/>
          <w:szCs w:val="28"/>
          <w:lang w:eastAsia="ru-RU"/>
        </w:rPr>
        <w:fldChar w:fldCharType="end"/>
      </w:r>
      <w:r>
        <w:rPr>
          <w:rFonts w:eastAsia="Times New Roman" w:cs="Times New Roman"/>
          <w:bCs/>
          <w:color w:val="000000"/>
          <w:sz w:val="28"/>
          <w:szCs w:val="28"/>
          <w:lang w:eastAsia="ru-RU"/>
        </w:rPr>
        <w:t>,</w:t>
      </w:r>
      <w:r>
        <w:rPr>
          <w:rFonts w:eastAsia="Times New Roman" w:cs="Times New Roman"/>
          <w:bCs/>
          <w:color w:val="000000"/>
          <w:sz w:val="28"/>
          <w:szCs w:val="28"/>
          <w:lang w:eastAsia="ru-RU"/>
        </w:rPr>
        <w:tab/>
        <w:t>(2</w:t>
      </w:r>
      <w:r w:rsidRPr="00C87121">
        <w:rPr>
          <w:rFonts w:eastAsia="Times New Roman" w:cs="Times New Roman"/>
          <w:bCs/>
          <w:color w:val="000000"/>
          <w:sz w:val="28"/>
          <w:szCs w:val="28"/>
          <w:lang w:eastAsia="ru-RU"/>
        </w:rPr>
        <w:t>.32)</w:t>
      </w:r>
    </w:p>
    <w:p w:rsidR="00973BA2" w:rsidRPr="00C87121" w:rsidRDefault="00973BA2" w:rsidP="00973BA2">
      <w:pPr>
        <w:rPr>
          <w:rFonts w:eastAsia="Times New Roman" w:cs="Times New Roman"/>
          <w:bCs/>
          <w:color w:val="000000"/>
          <w:sz w:val="28"/>
          <w:szCs w:val="28"/>
          <w:lang w:eastAsia="ru-RU"/>
        </w:rPr>
      </w:pPr>
      <w:r>
        <w:rPr>
          <w:rFonts w:eastAsia="Times New Roman" w:cs="Times New Roman"/>
          <w:bCs/>
          <w:color w:val="000000"/>
          <w:sz w:val="28"/>
          <w:szCs w:val="28"/>
          <w:lang w:eastAsia="ru-RU"/>
        </w:rPr>
        <w:t xml:space="preserve">где </w:t>
      </w:r>
      <w:r w:rsidRPr="00C87121">
        <w:rPr>
          <w:rFonts w:eastAsia="Times New Roman" w:cs="Times New Roman"/>
          <w:bCs/>
          <w:color w:val="000000"/>
          <w:sz w:val="28"/>
          <w:szCs w:val="28"/>
          <w:lang w:eastAsia="ru-RU"/>
        </w:rPr>
        <w:t>CF</w:t>
      </w:r>
      <w:r>
        <w:rPr>
          <w:rFonts w:eastAsia="Times New Roman" w:cs="Times New Roman"/>
          <w:bCs/>
          <w:color w:val="000000"/>
          <w:sz w:val="28"/>
          <w:szCs w:val="28"/>
          <w:vertAlign w:val="subscript"/>
          <w:lang w:val="en-US" w:eastAsia="ru-RU"/>
        </w:rPr>
        <w:t>t</w:t>
      </w:r>
      <w:r w:rsidRPr="00C87121">
        <w:rPr>
          <w:rFonts w:eastAsia="Times New Roman" w:cs="Times New Roman"/>
          <w:bCs/>
          <w:color w:val="000000"/>
          <w:sz w:val="28"/>
          <w:szCs w:val="28"/>
          <w:lang w:eastAsia="ru-RU"/>
        </w:rPr>
        <w:t xml:space="preserve"> – приток денежных сре</w:t>
      </w:r>
      <w:proofErr w:type="gramStart"/>
      <w:r w:rsidRPr="00C87121">
        <w:rPr>
          <w:rFonts w:eastAsia="Times New Roman" w:cs="Times New Roman"/>
          <w:bCs/>
          <w:color w:val="000000"/>
          <w:sz w:val="28"/>
          <w:szCs w:val="28"/>
          <w:lang w:eastAsia="ru-RU"/>
        </w:rPr>
        <w:t>дств в п</w:t>
      </w:r>
      <w:proofErr w:type="gramEnd"/>
      <w:r w:rsidRPr="00C87121">
        <w:rPr>
          <w:rFonts w:eastAsia="Times New Roman" w:cs="Times New Roman"/>
          <w:bCs/>
          <w:color w:val="000000"/>
          <w:sz w:val="28"/>
          <w:szCs w:val="28"/>
          <w:lang w:eastAsia="ru-RU"/>
        </w:rPr>
        <w:t>ериод t; I</w:t>
      </w:r>
      <w:r>
        <w:rPr>
          <w:rFonts w:eastAsia="Times New Roman" w:cs="Times New Roman"/>
          <w:bCs/>
          <w:color w:val="000000"/>
          <w:sz w:val="28"/>
          <w:szCs w:val="28"/>
          <w:vertAlign w:val="subscript"/>
          <w:lang w:val="en-US" w:eastAsia="ru-RU"/>
        </w:rPr>
        <w:t>t</w:t>
      </w:r>
      <w:r w:rsidRPr="00C87121">
        <w:rPr>
          <w:rFonts w:eastAsia="Times New Roman" w:cs="Times New Roman"/>
          <w:bCs/>
          <w:color w:val="000000"/>
          <w:sz w:val="28"/>
          <w:szCs w:val="28"/>
          <w:lang w:eastAsia="ru-RU"/>
        </w:rPr>
        <w:t xml:space="preserve"> – сумма инвестиций (затраты) в t-ом периоде; n – суммарное число периодов (интервалов, шагов) t = 0, 1, 2, ..., n.</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Экономический смысл данного показателя заключается в том, что он показывает ожидаемую норму доходности (рентабельность инвестиций) или максимально допустимый уровень инвестиционных затрат в оцениваемый проект. IRR должен быть выше средневзвешенной цены инвестиционных ресурсов:</w:t>
      </w:r>
      <w:r w:rsidRPr="009A2292">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IRR &gt; CC.</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Если это условие выдерживается, инвестор может принять проект, в противном случае он должен быть отклонен.</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Достоинства показателя внутренняя норма доходности (IRR) состоят в том, что кроме определения уровня рентабельности инвестиции, есть возможность сравнить проекты разного масштаба и различной длительности.</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Показатель эффективности инвестиций внутренняя норма доходности (IRR) имеет три основных недостатка.</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lastRenderedPageBreak/>
        <w:t>Во-первых, по умолчанию предполагается, что положительные денежные потоки реинвестируются по ставке, равной внутренней норме доходности. В случае</w:t>
      </w:r>
      <w:proofErr w:type="gramStart"/>
      <w:r w:rsidRPr="00C87121">
        <w:rPr>
          <w:rFonts w:eastAsia="Times New Roman" w:cs="Times New Roman"/>
          <w:bCs/>
          <w:color w:val="000000"/>
          <w:sz w:val="28"/>
          <w:szCs w:val="28"/>
          <w:lang w:eastAsia="ru-RU"/>
        </w:rPr>
        <w:t>,</w:t>
      </w:r>
      <w:proofErr w:type="gramEnd"/>
      <w:r w:rsidRPr="00C87121">
        <w:rPr>
          <w:rFonts w:eastAsia="Times New Roman" w:cs="Times New Roman"/>
          <w:bCs/>
          <w:color w:val="000000"/>
          <w:sz w:val="28"/>
          <w:szCs w:val="28"/>
          <w:lang w:eastAsia="ru-RU"/>
        </w:rPr>
        <w:t xml:space="preserve"> если IRR близко к уровню реинвестиций фирмы, то этой проблемы не возникает; когда IRR, особенно привлекательного инвестиционного проекта равен, к примеру 80 %, то имеется в виду, что все денежные поступления должны реинвестироваться при ставке 80 %. Однако маловероятно, что предприятие обладает ежегодными инвестиционными возможностями, которые обеспечивают рентабельность в 80 %. В данной ситуации показатель внутренней нормы доходности (IRR) завышает эффект от инвестиций.</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 Во-вторых, нет возможности определить, сколько принесет денег инвестиция в абсолютных значениях (рублях, долларах).</w:t>
      </w:r>
    </w:p>
    <w:p w:rsidR="00973BA2" w:rsidRPr="00595556"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В-третьих, в ситуации со знакопеременными денежными потоками может рассчитываться несколько значений IRR или возможно определение неправильного значения. </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Срок окупаемости инвестиций в текущих стоимостях (окупаемость в терминах текущих стоимостей, дисконтированный период окупаемости капиталовложений).</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Общая формула для расчета окупаемости в терминах текущих стоимостях:</w:t>
      </w:r>
    </w:p>
    <w:p w:rsidR="00973BA2" w:rsidRPr="00C87121" w:rsidRDefault="00973BA2" w:rsidP="00973BA2">
      <w:pPr>
        <w:rPr>
          <w:rFonts w:eastAsia="Times New Roman" w:cs="Times New Roman"/>
          <w:bCs/>
          <w:color w:val="000000"/>
          <w:sz w:val="28"/>
          <w:szCs w:val="28"/>
          <w:lang w:eastAsia="ru-RU"/>
        </w:rPr>
      </w:pPr>
      <w:proofErr w:type="spellStart"/>
      <w:r w:rsidRPr="00C87121">
        <w:rPr>
          <w:rFonts w:eastAsia="Times New Roman" w:cs="Times New Roman"/>
          <w:bCs/>
          <w:color w:val="000000"/>
          <w:sz w:val="28"/>
          <w:szCs w:val="28"/>
          <w:lang w:eastAsia="ru-RU"/>
        </w:rPr>
        <w:t>ТокТС</w:t>
      </w:r>
      <w:proofErr w:type="spellEnd"/>
      <w:r w:rsidRPr="00C87121">
        <w:rPr>
          <w:rFonts w:eastAsia="Times New Roman" w:cs="Times New Roman"/>
          <w:bCs/>
          <w:color w:val="000000"/>
          <w:sz w:val="28"/>
          <w:szCs w:val="28"/>
          <w:lang w:eastAsia="ru-RU"/>
        </w:rPr>
        <w:t>=n, при котором</w:t>
      </w:r>
    </w:p>
    <w:p w:rsidR="00973BA2" w:rsidRPr="00C87121" w:rsidRDefault="00973BA2" w:rsidP="00973BA2">
      <w:pPr>
        <w:tabs>
          <w:tab w:val="left" w:pos="7088"/>
        </w:tabs>
        <w:rPr>
          <w:rFonts w:eastAsia="Times New Roman" w:cs="Times New Roman"/>
          <w:bCs/>
          <w:color w:val="000000"/>
          <w:sz w:val="28"/>
          <w:szCs w:val="28"/>
          <w:lang w:eastAsia="ru-RU"/>
        </w:rPr>
      </w:pPr>
      <m:oMath>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&gt;</m:t>
        </m:r>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0</m:t>
            </m:r>
          </m:sub>
        </m:sSub>
      </m:oMath>
      <w:r w:rsidRPr="00C87121">
        <w:rPr>
          <w:rFonts w:eastAsia="Times New Roman" w:cs="Times New Roman"/>
          <w:bCs/>
          <w:color w:val="000000"/>
          <w:sz w:val="28"/>
          <w:szCs w:val="28"/>
          <w:lang w:eastAsia="ru-RU"/>
        </w:rPr>
        <w:fldChar w:fldCharType="begin"/>
      </w:r>
      <w:r w:rsidRPr="00C87121">
        <w:rPr>
          <w:rFonts w:eastAsia="Times New Roman" w:cs="Times New Roman"/>
          <w:bCs/>
          <w:color w:val="000000"/>
          <w:sz w:val="28"/>
          <w:szCs w:val="28"/>
          <w:lang w:eastAsia="ru-RU"/>
        </w:rPr>
        <w:instrText xml:space="preserve"> QUOTE </w:instrText>
      </w:r>
      <m:oMath>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&gt;</m:t>
        </m:r>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0</m:t>
            </m:r>
          </m:sub>
        </m:sSub>
        <m:r>
          <m:rPr>
            <m:sty m:val="p"/>
          </m:rPr>
          <w:rPr>
            <w:rFonts w:ascii="Cambria Math" w:eastAsia="Times New Roman" w:hAnsi="Cambria Math" w:cs="Times New Roman"/>
            <w:color w:val="000000"/>
            <w:sz w:val="28"/>
            <w:szCs w:val="28"/>
            <w:lang w:eastAsia="ru-RU"/>
          </w:rPr>
          <m:t>,</m:t>
        </m:r>
      </m:oMath>
      <w:r w:rsidRPr="00C87121">
        <w:rPr>
          <w:rFonts w:eastAsia="Times New Roman" w:cs="Times New Roman"/>
          <w:bCs/>
          <w:color w:val="000000"/>
          <w:sz w:val="28"/>
          <w:szCs w:val="28"/>
          <w:lang w:eastAsia="ru-RU"/>
        </w:rPr>
        <w:instrText xml:space="preserve"> </w:instrText>
      </w:r>
      <w:r w:rsidRPr="00C87121">
        <w:rPr>
          <w:rFonts w:eastAsia="Times New Roman" w:cs="Times New Roman"/>
          <w:bCs/>
          <w:color w:val="000000"/>
          <w:sz w:val="28"/>
          <w:szCs w:val="28"/>
          <w:lang w:eastAsia="ru-RU"/>
        </w:rPr>
        <w:fldChar w:fldCharType="end"/>
      </w:r>
      <w:r>
        <w:rPr>
          <w:rFonts w:eastAsia="Times New Roman" w:cs="Times New Roman"/>
          <w:bCs/>
          <w:color w:val="000000"/>
          <w:sz w:val="28"/>
          <w:szCs w:val="28"/>
          <w:lang w:eastAsia="ru-RU"/>
        </w:rPr>
        <w:tab/>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2.33</w:t>
      </w:r>
      <w:r w:rsidRPr="00C87121">
        <w:rPr>
          <w:rFonts w:eastAsia="Times New Roman" w:cs="Times New Roman"/>
          <w:bCs/>
          <w:color w:val="000000"/>
          <w:sz w:val="28"/>
          <w:szCs w:val="28"/>
          <w:lang w:eastAsia="ru-RU"/>
        </w:rPr>
        <w:t>)</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где </w:t>
      </w:r>
      <w:proofErr w:type="spellStart"/>
      <w:r w:rsidRPr="00C87121">
        <w:rPr>
          <w:rFonts w:eastAsia="Times New Roman" w:cs="Times New Roman"/>
          <w:bCs/>
          <w:color w:val="000000"/>
          <w:sz w:val="28"/>
          <w:szCs w:val="28"/>
          <w:lang w:eastAsia="ru-RU"/>
        </w:rPr>
        <w:t>ТокТС</w:t>
      </w:r>
      <w:proofErr w:type="spellEnd"/>
      <w:r w:rsidRPr="00C87121">
        <w:rPr>
          <w:rFonts w:eastAsia="Times New Roman" w:cs="Times New Roman"/>
          <w:bCs/>
          <w:color w:val="000000"/>
          <w:sz w:val="28"/>
          <w:szCs w:val="28"/>
          <w:lang w:eastAsia="ru-RU"/>
        </w:rPr>
        <w:t xml:space="preserve"> – срок окупаемости инвестиций в текущих стоимостях; n – число периодов; </w:t>
      </w:r>
      <w:r w:rsidRPr="009A2292">
        <w:rPr>
          <w:rFonts w:eastAsia="Times New Roman" w:cs="Times New Roman"/>
          <w:bCs/>
          <w:color w:val="000000"/>
          <w:sz w:val="28"/>
          <w:szCs w:val="28"/>
          <w:lang w:eastAsia="ru-RU"/>
        </w:rPr>
        <w:t>CF</w:t>
      </w:r>
      <w:r>
        <w:rPr>
          <w:rFonts w:eastAsia="Times New Roman" w:cs="Times New Roman"/>
          <w:bCs/>
          <w:color w:val="000000"/>
          <w:sz w:val="28"/>
          <w:szCs w:val="28"/>
          <w:vertAlign w:val="subscript"/>
          <w:lang w:val="en-US" w:eastAsia="ru-RU"/>
        </w:rPr>
        <w:t>t</w:t>
      </w:r>
      <w:r w:rsidRPr="00C87121">
        <w:rPr>
          <w:rFonts w:eastAsia="Times New Roman" w:cs="Times New Roman"/>
          <w:bCs/>
          <w:color w:val="000000"/>
          <w:sz w:val="28"/>
          <w:szCs w:val="28"/>
          <w:lang w:eastAsia="ru-RU"/>
        </w:rPr>
        <w:t xml:space="preserve"> – приток денежных сре</w:t>
      </w:r>
      <w:proofErr w:type="gramStart"/>
      <w:r w:rsidRPr="00C87121">
        <w:rPr>
          <w:rFonts w:eastAsia="Times New Roman" w:cs="Times New Roman"/>
          <w:bCs/>
          <w:color w:val="000000"/>
          <w:sz w:val="28"/>
          <w:szCs w:val="28"/>
          <w:lang w:eastAsia="ru-RU"/>
        </w:rPr>
        <w:t>дств в п</w:t>
      </w:r>
      <w:proofErr w:type="gramEnd"/>
      <w:r w:rsidRPr="00C87121">
        <w:rPr>
          <w:rFonts w:eastAsia="Times New Roman" w:cs="Times New Roman"/>
          <w:bCs/>
          <w:color w:val="000000"/>
          <w:sz w:val="28"/>
          <w:szCs w:val="28"/>
          <w:lang w:eastAsia="ru-RU"/>
        </w:rPr>
        <w:t>ериод t; r –барьерная ставка (</w:t>
      </w:r>
      <w:r>
        <w:rPr>
          <w:rFonts w:eastAsia="Times New Roman" w:cs="Times New Roman"/>
          <w:bCs/>
          <w:color w:val="000000"/>
          <w:sz w:val="28"/>
          <w:szCs w:val="28"/>
          <w:lang w:eastAsia="ru-RU"/>
        </w:rPr>
        <w:t>коэффициент дисконтирования); I</w:t>
      </w:r>
      <w:r w:rsidRPr="009A2292">
        <w:rPr>
          <w:rFonts w:eastAsia="Times New Roman" w:cs="Times New Roman"/>
          <w:bCs/>
          <w:color w:val="000000"/>
          <w:sz w:val="28"/>
          <w:szCs w:val="28"/>
          <w:vertAlign w:val="subscript"/>
          <w:lang w:eastAsia="ru-RU"/>
        </w:rPr>
        <w:t>0</w:t>
      </w:r>
      <w:r w:rsidRPr="00C87121">
        <w:rPr>
          <w:rFonts w:eastAsia="Times New Roman" w:cs="Times New Roman"/>
          <w:bCs/>
          <w:color w:val="000000"/>
          <w:sz w:val="28"/>
          <w:szCs w:val="28"/>
          <w:lang w:eastAsia="ru-RU"/>
        </w:rPr>
        <w:t xml:space="preserve"> – величина исходных инвестиций в нулевой период.</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Видоизменяя понятие окупаемости, получаем дополнительные инструменты анализа инвестиций. </w:t>
      </w:r>
      <w:proofErr w:type="gramStart"/>
      <w:r w:rsidRPr="00C87121">
        <w:rPr>
          <w:rFonts w:eastAsia="Times New Roman" w:cs="Times New Roman"/>
          <w:bCs/>
          <w:color w:val="000000"/>
          <w:sz w:val="28"/>
          <w:szCs w:val="28"/>
          <w:lang w:eastAsia="ru-RU"/>
        </w:rPr>
        <w:t>Так, показатель окупаемость в терминах текущих стоимостей (его будем кратко называть ТС – окупаемостью (</w:t>
      </w:r>
      <w:proofErr w:type="spellStart"/>
      <w:r w:rsidRPr="00C87121">
        <w:rPr>
          <w:rFonts w:eastAsia="Times New Roman" w:cs="Times New Roman"/>
          <w:bCs/>
          <w:color w:val="000000"/>
          <w:sz w:val="28"/>
          <w:szCs w:val="28"/>
          <w:lang w:eastAsia="ru-RU"/>
        </w:rPr>
        <w:t>present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value</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payback</w:t>
      </w:r>
      <w:proofErr w:type="spellEnd"/>
      <w:r w:rsidRPr="00C87121">
        <w:rPr>
          <w:rFonts w:eastAsia="Times New Roman" w:cs="Times New Roman"/>
          <w:bCs/>
          <w:color w:val="000000"/>
          <w:sz w:val="28"/>
          <w:szCs w:val="28"/>
          <w:lang w:eastAsia="ru-RU"/>
        </w:rPr>
        <w:t>, PV–</w:t>
      </w:r>
      <w:proofErr w:type="spellStart"/>
      <w:r w:rsidRPr="00C87121">
        <w:rPr>
          <w:rFonts w:eastAsia="Times New Roman" w:cs="Times New Roman"/>
          <w:bCs/>
          <w:color w:val="000000"/>
          <w:sz w:val="28"/>
          <w:szCs w:val="28"/>
          <w:lang w:eastAsia="ru-RU"/>
        </w:rPr>
        <w:t>payback</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Discounted</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Payback</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Period</w:t>
      </w:r>
      <w:proofErr w:type="spellEnd"/>
      <w:r w:rsidRPr="00C87121">
        <w:rPr>
          <w:rFonts w:eastAsia="Times New Roman" w:cs="Times New Roman"/>
          <w:bCs/>
          <w:color w:val="000000"/>
          <w:sz w:val="28"/>
          <w:szCs w:val="28"/>
          <w:lang w:eastAsia="ru-RU"/>
        </w:rPr>
        <w:t xml:space="preserve">, DPP), также </w:t>
      </w:r>
      <w:r w:rsidRPr="00C87121">
        <w:rPr>
          <w:rFonts w:eastAsia="Times New Roman" w:cs="Times New Roman"/>
          <w:bCs/>
          <w:color w:val="000000"/>
          <w:sz w:val="28"/>
          <w:szCs w:val="28"/>
          <w:lang w:eastAsia="ru-RU"/>
        </w:rPr>
        <w:lastRenderedPageBreak/>
        <w:t>используемый при определении количества временных периодов, требуемых для возмещения инвестиционных расходов, принимает в расчет временную стоимость денег.</w:t>
      </w:r>
      <w:proofErr w:type="gramEnd"/>
      <w:r w:rsidRPr="00C87121">
        <w:rPr>
          <w:rFonts w:eastAsia="Times New Roman" w:cs="Times New Roman"/>
          <w:bCs/>
          <w:color w:val="000000"/>
          <w:sz w:val="28"/>
          <w:szCs w:val="28"/>
          <w:lang w:eastAsia="ru-RU"/>
        </w:rPr>
        <w:t xml:space="preserve"> В то время, как при вычислении окупаемости просто суммируются ежегодные денежные поступления для определения того года, в котором они превзойдут первоначальные расходы денежных средств, при вычислении ТС – окупаемости суммируются дисконтированные денежные поступления.</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В зависимости от поставленной цели возможно вычисление срока окупаемости инвестиций с различной точностью. На практике часто встречается ситуация, когда в первые периоды происходит отток денежных средств и тогда при расчете чистой текущей стоимости, вместо величины начальной инвестиции используют сумму дисконтированных денежных оттоков.</w:t>
      </w:r>
    </w:p>
    <w:p w:rsidR="00973BA2" w:rsidRPr="00C87121" w:rsidRDefault="00973BA2" w:rsidP="00973BA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ТС – окупаемость – это показатель, оценивающий характерное время инвестиции, а именно </w:t>
      </w:r>
      <w:proofErr w:type="gramStart"/>
      <w:r w:rsidRPr="00C87121">
        <w:rPr>
          <w:rFonts w:eastAsia="Times New Roman" w:cs="Times New Roman"/>
          <w:bCs/>
          <w:color w:val="000000"/>
          <w:sz w:val="28"/>
          <w:szCs w:val="28"/>
          <w:lang w:eastAsia="ru-RU"/>
        </w:rPr>
        <w:t>определяющих</w:t>
      </w:r>
      <w:proofErr w:type="gramEnd"/>
      <w:r w:rsidRPr="00C87121">
        <w:rPr>
          <w:rFonts w:eastAsia="Times New Roman" w:cs="Times New Roman"/>
          <w:bCs/>
          <w:color w:val="000000"/>
          <w:sz w:val="28"/>
          <w:szCs w:val="28"/>
          <w:lang w:eastAsia="ru-RU"/>
        </w:rPr>
        <w:t xml:space="preserve">, как быстро инвестиционные расходы будут возмещены доходами. Дисконтированный период окупаемости позволяет дать грубую оценку ликвидности проекта и приблизительно оценить риск. И наконец, ТС – индекс является более надежным, чем внутренний коэффициент окупаемости (IRR), показателем в случаях, когда необходим сравнительный анализ целесообразности инвестиций. </w:t>
      </w:r>
    </w:p>
    <w:p w:rsidR="002118C4" w:rsidRDefault="002118C4"/>
    <w:sectPr w:rsidR="00211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B38F9"/>
    <w:multiLevelType w:val="hybridMultilevel"/>
    <w:tmpl w:val="C96A5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A2"/>
    <w:rsid w:val="002118C4"/>
    <w:rsid w:val="0097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A2"/>
    <w:pPr>
      <w:spacing w:after="0" w:line="360" w:lineRule="auto"/>
      <w:ind w:firstLine="709"/>
      <w:jc w:val="both"/>
    </w:pPr>
    <w:rPr>
      <w:rFonts w:ascii="Times New Roman" w:hAnsi="Times New Roman"/>
      <w:sz w:val="24"/>
    </w:rPr>
  </w:style>
  <w:style w:type="paragraph" w:styleId="3">
    <w:name w:val="heading 3"/>
    <w:basedOn w:val="a"/>
    <w:next w:val="a"/>
    <w:link w:val="30"/>
    <w:unhideWhenUsed/>
    <w:qFormat/>
    <w:rsid w:val="00973BA2"/>
    <w:pPr>
      <w:keepNext/>
      <w:keepLines/>
      <w:spacing w:before="600" w:after="300"/>
      <w:ind w:firstLine="0"/>
      <w:jc w:val="center"/>
      <w:outlineLvl w:val="2"/>
    </w:pPr>
    <w:rPr>
      <w:rFonts w:eastAsiaTheme="majorEastAsia"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3BA2"/>
    <w:rPr>
      <w:rFonts w:ascii="Times New Roman" w:eastAsiaTheme="majorEastAsia" w:hAnsi="Times New Roman" w:cstheme="majorBidi"/>
      <w:b/>
      <w:bCs/>
      <w:sz w:val="28"/>
    </w:rPr>
  </w:style>
  <w:style w:type="paragraph" w:styleId="a3">
    <w:name w:val="List Paragraph"/>
    <w:basedOn w:val="a"/>
    <w:uiPriority w:val="34"/>
    <w:qFormat/>
    <w:rsid w:val="00973BA2"/>
    <w:pPr>
      <w:spacing w:after="200" w:line="276" w:lineRule="auto"/>
      <w:ind w:left="720"/>
      <w:contextualSpacing/>
    </w:pPr>
    <w:rPr>
      <w:rFonts w:ascii="Calibri" w:eastAsia="Calibri" w:hAnsi="Calibri" w:cs="Times New Roman"/>
      <w:sz w:val="22"/>
    </w:rPr>
  </w:style>
  <w:style w:type="paragraph" w:styleId="a4">
    <w:name w:val="Balloon Text"/>
    <w:basedOn w:val="a"/>
    <w:link w:val="a5"/>
    <w:uiPriority w:val="99"/>
    <w:semiHidden/>
    <w:unhideWhenUsed/>
    <w:rsid w:val="00973BA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B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A2"/>
    <w:pPr>
      <w:spacing w:after="0" w:line="360" w:lineRule="auto"/>
      <w:ind w:firstLine="709"/>
      <w:jc w:val="both"/>
    </w:pPr>
    <w:rPr>
      <w:rFonts w:ascii="Times New Roman" w:hAnsi="Times New Roman"/>
      <w:sz w:val="24"/>
    </w:rPr>
  </w:style>
  <w:style w:type="paragraph" w:styleId="3">
    <w:name w:val="heading 3"/>
    <w:basedOn w:val="a"/>
    <w:next w:val="a"/>
    <w:link w:val="30"/>
    <w:unhideWhenUsed/>
    <w:qFormat/>
    <w:rsid w:val="00973BA2"/>
    <w:pPr>
      <w:keepNext/>
      <w:keepLines/>
      <w:spacing w:before="600" w:after="300"/>
      <w:ind w:firstLine="0"/>
      <w:jc w:val="center"/>
      <w:outlineLvl w:val="2"/>
    </w:pPr>
    <w:rPr>
      <w:rFonts w:eastAsiaTheme="majorEastAsia"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3BA2"/>
    <w:rPr>
      <w:rFonts w:ascii="Times New Roman" w:eastAsiaTheme="majorEastAsia" w:hAnsi="Times New Roman" w:cstheme="majorBidi"/>
      <w:b/>
      <w:bCs/>
      <w:sz w:val="28"/>
    </w:rPr>
  </w:style>
  <w:style w:type="paragraph" w:styleId="a3">
    <w:name w:val="List Paragraph"/>
    <w:basedOn w:val="a"/>
    <w:uiPriority w:val="34"/>
    <w:qFormat/>
    <w:rsid w:val="00973BA2"/>
    <w:pPr>
      <w:spacing w:after="200" w:line="276" w:lineRule="auto"/>
      <w:ind w:left="720"/>
      <w:contextualSpacing/>
    </w:pPr>
    <w:rPr>
      <w:rFonts w:ascii="Calibri" w:eastAsia="Calibri" w:hAnsi="Calibri" w:cs="Times New Roman"/>
      <w:sz w:val="22"/>
    </w:rPr>
  </w:style>
  <w:style w:type="paragraph" w:styleId="a4">
    <w:name w:val="Balloon Text"/>
    <w:basedOn w:val="a"/>
    <w:link w:val="a5"/>
    <w:uiPriority w:val="99"/>
    <w:semiHidden/>
    <w:unhideWhenUsed/>
    <w:rsid w:val="00973BA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1452</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Бочкаревы</dc:creator>
  <cp:lastModifiedBy>Бочкаревы</cp:lastModifiedBy>
  <cp:revision>1</cp:revision>
  <dcterms:created xsi:type="dcterms:W3CDTF">2021-10-28T19:22:00Z</dcterms:created>
  <dcterms:modified xsi:type="dcterms:W3CDTF">2021-10-28T19:26:00Z</dcterms:modified>
</cp:coreProperties>
</file>