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4" w:rsidRPr="007B62CD" w:rsidRDefault="00856570" w:rsidP="00856570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Лекционный материал на 23.11</w:t>
      </w:r>
      <w:r w:rsidR="005458D6" w:rsidRPr="007B62CD">
        <w:rPr>
          <w:rFonts w:ascii="Times New Roman" w:hAnsi="Times New Roman" w:cs="Times New Roman"/>
          <w:b/>
          <w:sz w:val="28"/>
          <w:szCs w:val="28"/>
        </w:rPr>
        <w:t>.20 г. для группы ГМУ-19</w:t>
      </w:r>
    </w:p>
    <w:p w:rsidR="00856570" w:rsidRPr="00856570" w:rsidRDefault="00856570" w:rsidP="00856570">
      <w:pPr>
        <w:spacing w:before="100" w:beforeAutospacing="1"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Лекция будет осуществлена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режиме </w:t>
      </w:r>
      <w:r w:rsidR="00DD0E16">
        <w:rPr>
          <w:rFonts w:ascii="Times New Roman" w:hAnsi="Times New Roman" w:cs="Times New Roman"/>
          <w:b/>
          <w:i/>
          <w:sz w:val="28"/>
          <w:szCs w:val="28"/>
        </w:rPr>
        <w:t xml:space="preserve">в системе </w:t>
      </w:r>
      <w:proofErr w:type="spellStart"/>
      <w:r w:rsidR="00DD0E16">
        <w:rPr>
          <w:rFonts w:ascii="Times New Roman" w:hAnsi="Times New Roman" w:cs="Times New Roman"/>
          <w:b/>
          <w:i/>
          <w:sz w:val="28"/>
          <w:szCs w:val="28"/>
          <w:lang w:val="en-US"/>
        </w:rPr>
        <w:t>BigBlueButton</w:t>
      </w:r>
      <w:proofErr w:type="spellEnd"/>
      <w:r w:rsidR="00DD0E16" w:rsidRPr="00DD0E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 следующей ссылке </w:t>
      </w:r>
      <w:hyperlink r:id="rId5" w:history="1">
        <w:r w:rsidRPr="0059752D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http://disrm2.zabgu.ru/b/dma-kh2-uzq</w:t>
        </w:r>
      </w:hyperlink>
      <w:r w:rsidRPr="008565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70B4" w:rsidRPr="007B62CD" w:rsidRDefault="002370B4" w:rsidP="00856570">
      <w:pPr>
        <w:spacing w:before="100" w:beforeAutospacing="1"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2CD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 w:rsidRPr="007B62CD">
        <w:rPr>
          <w:rFonts w:ascii="Times New Roman" w:hAnsi="Times New Roman" w:cs="Times New Roman"/>
          <w:b/>
          <w:i/>
          <w:sz w:val="28"/>
          <w:szCs w:val="28"/>
        </w:rPr>
        <w:t xml:space="preserve">законспектировать в тетрадь (выделенные строки) и </w:t>
      </w:r>
      <w:r w:rsidR="00856570">
        <w:rPr>
          <w:rFonts w:ascii="Times New Roman" w:hAnsi="Times New Roman" w:cs="Times New Roman"/>
          <w:b/>
          <w:i/>
          <w:sz w:val="28"/>
          <w:szCs w:val="28"/>
        </w:rPr>
        <w:t xml:space="preserve">после дополнения на </w:t>
      </w:r>
      <w:proofErr w:type="spellStart"/>
      <w:r w:rsidR="00856570">
        <w:rPr>
          <w:rFonts w:ascii="Times New Roman" w:hAnsi="Times New Roman" w:cs="Times New Roman"/>
          <w:b/>
          <w:i/>
          <w:sz w:val="28"/>
          <w:szCs w:val="28"/>
        </w:rPr>
        <w:t>зянятии</w:t>
      </w:r>
      <w:proofErr w:type="spellEnd"/>
      <w:r w:rsidR="00856570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="00856570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  <w:r w:rsidR="00856570">
        <w:rPr>
          <w:rFonts w:ascii="Times New Roman" w:hAnsi="Times New Roman" w:cs="Times New Roman"/>
          <w:b/>
          <w:i/>
          <w:sz w:val="28"/>
          <w:szCs w:val="28"/>
        </w:rPr>
        <w:t xml:space="preserve"> режиме </w:t>
      </w:r>
      <w:r w:rsidRPr="007B62CD">
        <w:rPr>
          <w:rFonts w:ascii="Times New Roman" w:hAnsi="Times New Roman" w:cs="Times New Roman"/>
          <w:b/>
          <w:i/>
          <w:sz w:val="28"/>
          <w:szCs w:val="28"/>
        </w:rPr>
        <w:t>загрузить в личный кабинет.</w:t>
      </w:r>
    </w:p>
    <w:p w:rsidR="007B62CD" w:rsidRDefault="007B62CD" w:rsidP="00856570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21984180"/>
      <w:bookmarkStart w:id="1" w:name="_Toc343094871"/>
    </w:p>
    <w:bookmarkEnd w:id="0"/>
    <w:bookmarkEnd w:id="1"/>
    <w:p w:rsidR="00E9486A" w:rsidRDefault="005E243F" w:rsidP="00856570">
      <w:pPr>
        <w:suppressAutoHyphens/>
        <w:spacing w:before="100" w:beforeAutospacing="1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mn-MN"/>
        </w:rPr>
      </w:pPr>
      <w:r w:rsidRPr="00E9486A">
        <w:rPr>
          <w:rFonts w:ascii="Times New Roman" w:hAnsi="Times New Roman"/>
          <w:b/>
          <w:sz w:val="28"/>
          <w:szCs w:val="28"/>
        </w:rPr>
        <w:t>Тема:</w:t>
      </w:r>
      <w:r w:rsidR="00856570">
        <w:rPr>
          <w:rFonts w:ascii="Times New Roman" w:hAnsi="Times New Roman"/>
          <w:b/>
          <w:sz w:val="28"/>
          <w:szCs w:val="28"/>
          <w:lang w:val="mn-MN"/>
        </w:rPr>
        <w:t xml:space="preserve"> Региональная экологическая политика </w:t>
      </w:r>
    </w:p>
    <w:p w:rsidR="00856570" w:rsidRPr="00856570" w:rsidRDefault="00856570" w:rsidP="00856570">
      <w:pPr>
        <w:suppressAutoHyphens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/>
        </w:rPr>
      </w:pPr>
    </w:p>
    <w:p w:rsidR="00856570" w:rsidRPr="00533A4D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t>Региональная (социально-экономическая) политика государства — сфера деятельности по управлению политическим, экономическим, социальным и экологическим развитием страны в пространственном, региональном аспекте и отражающая как взаимоотношения между государством и регионами, так и регионов между собой.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mn-MN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Эффективность социально-экономических преобразований во многом зависит от научно обоснованного проведения региональной политики.</w:t>
      </w:r>
    </w:p>
    <w:p w:rsidR="000F113E" w:rsidRPr="00533A4D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t>Ухудшение качества окружающей среды (то есть детериорация) носит ярко выраженный региональный характер, что связано как с различиями в хозяйственной специализации стран и регионов, так и неодинаковыми возможностями государств регулировать качество экологической среды. В этой связи проведение целенаправленной региональной экологической политики становится императивом (общее нравственное предписание).</w:t>
      </w:r>
    </w:p>
    <w:p w:rsidR="000F113E" w:rsidRPr="00533A4D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t>Экологический императив – форма запретов и ограничений, распространяющихся на любую человеческую деятельность. Имеет безусловным приоритетом сохранение живой природы, видового разнообразия планеты, защиту окружающей среды от чрезмерного загрязнения, несовместимого с жизнью.</w:t>
      </w:r>
    </w:p>
    <w:p w:rsidR="000F113E" w:rsidRPr="00533A4D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Сущность экологической политики заключается в деятельности государства, направленной на удовлетворение природоохранного интереса </w:t>
      </w: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населения и на решение общественных проблем, связанных с состоянием окружающей среды.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mn-MN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Региональная экологическая политика – это система мероприятий, направленных на обеспечение устойчивого развития региона.</w:t>
      </w:r>
    </w:p>
    <w:p w:rsidR="000F113E" w:rsidRPr="00533A4D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533A4D">
        <w:rPr>
          <w:rFonts w:ascii="Times New Roman" w:eastAsia="Times New Roman" w:hAnsi="Times New Roman" w:cs="Times New Roman"/>
          <w:sz w:val="28"/>
          <w:szCs w:val="28"/>
          <w:u w:val="single"/>
        </w:rPr>
        <w:t>Региональная экологическая политика – совокупность основных принципов, намерений и обязательств региона, создающих основу для экологически безопасного социально-экономического развития территории, совершенствования управленческих решений в области природопользования и обеспечивающих исполнение международных обязательств России в сохранении трансграничных и иных экологически значимых природных комплексов.</w:t>
      </w:r>
    </w:p>
    <w:p w:rsidR="000F113E" w:rsidRPr="00156EE1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В современных условиях для надлежащей постановки региональной политики необходим учет социально-экономической, технико-технологической и экологической обстановки на местах и учет интересов местного населения. Именно население должно стать одним из основных субъектов региональной экологической политики, а не ее пассивным объектом.</w:t>
      </w:r>
    </w:p>
    <w:p w:rsidR="000F113E" w:rsidRPr="00856570" w:rsidRDefault="000F113E" w:rsidP="00533A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Базой для формирования региональной экологической политики должно стать понимание той экологической обстановки, которая объективно существует на данный момент в конкретном регионе, и инерционных тенденций ее развития. Прежде </w:t>
      </w:r>
      <w:r w:rsidR="00156EE1" w:rsidRPr="00856570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необходим анализ структуры экономики региона, т.к. в ходе такого анализа выявляются и ранжируются основные причины неблагополучия в экологии региона, степень их распространенности, становятся более очевидными пути устранения или нейтрализации этих причин.</w:t>
      </w:r>
    </w:p>
    <w:p w:rsidR="000F113E" w:rsidRPr="00156EE1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mn-MN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Чтобы региональная экологическая политика была </w:t>
      </w:r>
      <w:proofErr w:type="gram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верно</w:t>
      </w:r>
      <w:proofErr w:type="gram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ориентированной, системной и последовательной, необходимо разработать концепцию, систему стратегических целей, задач, принципов и механизмов природопользования в регионе.</w:t>
      </w:r>
    </w:p>
    <w:p w:rsidR="00533A4D" w:rsidRDefault="00533A4D" w:rsidP="00533A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F113E" w:rsidRPr="00533A4D" w:rsidRDefault="000F113E" w:rsidP="00533A4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3A4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Модель формирования экологической политики региона</w:t>
      </w:r>
    </w:p>
    <w:p w:rsidR="00533A4D" w:rsidRPr="00156EE1" w:rsidRDefault="000F113E" w:rsidP="0085657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Экополитический</w:t>
      </w:r>
      <w:proofErr w:type="spell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процесс – это экологическая составляющая политического процесса.</w:t>
      </w:r>
    </w:p>
    <w:p w:rsidR="00856570" w:rsidRPr="00156EE1" w:rsidRDefault="000F113E" w:rsidP="00533A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 субъектам </w:t>
      </w:r>
      <w:proofErr w:type="spell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экополитического</w:t>
      </w:r>
      <w:proofErr w:type="spell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процесса относятся</w:t>
      </w:r>
      <w:r w:rsidR="00856570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856570" w:rsidRPr="00156EE1" w:rsidRDefault="000F113E" w:rsidP="00856570">
      <w:pPr>
        <w:pStyle w:val="a3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государственные структуры,</w:t>
      </w:r>
    </w:p>
    <w:p w:rsidR="000F113E" w:rsidRPr="00156EE1" w:rsidRDefault="000F113E" w:rsidP="00856570">
      <w:pPr>
        <w:pStyle w:val="a3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общественное экологическое движение,</w:t>
      </w:r>
    </w:p>
    <w:p w:rsidR="000F113E" w:rsidRPr="00156EE1" w:rsidRDefault="000F113E" w:rsidP="00856570">
      <w:pPr>
        <w:pStyle w:val="a3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научное экологическое сообщество</w:t>
      </w:r>
    </w:p>
    <w:p w:rsidR="000F113E" w:rsidRPr="00156EE1" w:rsidRDefault="00856570" w:rsidP="00856570">
      <w:pPr>
        <w:pStyle w:val="a3"/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бизнес – структуры (в зависимости от различных политико-социальных условий, могут также являться и объектом экологической политики, на который направлены основные политические меры).</w:t>
      </w:r>
    </w:p>
    <w:p w:rsidR="00856570" w:rsidRPr="00156EE1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Экополитика</w:t>
      </w:r>
      <w:proofErr w:type="spell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базируется на теоретическом фундаментальном научном знании, что связано </w:t>
      </w:r>
      <w:proofErr w:type="gram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proofErr w:type="gram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856570" w:rsidRPr="00156EE1" w:rsidRDefault="000F113E" w:rsidP="00856570">
      <w:pPr>
        <w:pStyle w:val="a3"/>
        <w:numPr>
          <w:ilvl w:val="0"/>
          <w:numId w:val="3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невозможностью восприятия многих экологических рисков органами чувств (радиационная опасность, химическое зараж</w:t>
      </w:r>
      <w:r w:rsidR="00856570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ение, деградация ландшафтов); </w:t>
      </w:r>
    </w:p>
    <w:p w:rsidR="000F113E" w:rsidRPr="00156EE1" w:rsidRDefault="000F113E" w:rsidP="00856570">
      <w:pPr>
        <w:pStyle w:val="a3"/>
        <w:numPr>
          <w:ilvl w:val="0"/>
          <w:numId w:val="3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необходимостью применения мер по устранению экологических нарушений, с опорой не только на социальные, но и на природные закономерности.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экологическая политика, т.е. политика, приносящая конкретный, природоохранный результат возможна лишь при взаимодействии всех субъектов (государственных структур, экологического движения, партий, научного экологического сообщества и </w:t>
      </w:r>
      <w:proofErr w:type="spellStart"/>
      <w:proofErr w:type="gramStart"/>
      <w:r w:rsidRPr="00856570">
        <w:rPr>
          <w:rFonts w:ascii="Times New Roman" w:eastAsia="Times New Roman" w:hAnsi="Times New Roman" w:cs="Times New Roman"/>
          <w:sz w:val="28"/>
          <w:szCs w:val="28"/>
        </w:rPr>
        <w:t>бизнес-структур</w:t>
      </w:r>
      <w:proofErr w:type="spellEnd"/>
      <w:proofErr w:type="gramEnd"/>
      <w:r w:rsidRPr="0085657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Модель формирования экологической политики региона представляет собой взаимодействие субъектов на трех уровнях: глобальном, национальном и региональном.</w:t>
      </w:r>
      <w:r w:rsidR="00F45C9D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Ключевой идеей трехуровневой модели является введение параметра «экологических угроз».</w:t>
      </w: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Выход на формирование эффективной экологической политики предусматривает определение экологических угроз на каждом уровне реализации и вовлечение участвующих политических </w:t>
      </w:r>
      <w:r w:rsidRPr="00856570">
        <w:rPr>
          <w:rFonts w:ascii="Times New Roman" w:eastAsia="Times New Roman" w:hAnsi="Times New Roman" w:cs="Times New Roman"/>
          <w:sz w:val="28"/>
          <w:szCs w:val="28"/>
        </w:rPr>
        <w:lastRenderedPageBreak/>
        <w:t>субъектов в систему, направленную на их снижение через осуществление субъектами своих функций.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Деятельность субъектов каждого уровня должна быть нацелена соответственно на устранение экологических угроз региону, стране, миру в целом.</w:t>
      </w:r>
    </w:p>
    <w:p w:rsidR="000F113E" w:rsidRPr="00156EE1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Цикл взаимодействия между субъектами </w:t>
      </w:r>
      <w:proofErr w:type="spell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экополитического</w:t>
      </w:r>
      <w:proofErr w:type="spell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процесса каждого уровня представляет последовательность действий, направленных на принятие </w:t>
      </w:r>
      <w:proofErr w:type="spell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экополитического</w:t>
      </w:r>
      <w:proofErr w:type="spell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решения, и имеет следующий вид:</w:t>
      </w:r>
    </w:p>
    <w:p w:rsidR="000F113E" w:rsidRPr="00156EE1" w:rsidRDefault="000F113E" w:rsidP="00F45C9D">
      <w:pPr>
        <w:pStyle w:val="a3"/>
        <w:numPr>
          <w:ilvl w:val="0"/>
          <w:numId w:val="3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ухудшение состояния окружающей среды ведет к увеличению экологических угроз, на устранение которых направлена дальнейшая деятельность субъектов;</w:t>
      </w:r>
    </w:p>
    <w:p w:rsidR="000F113E" w:rsidRPr="00156EE1" w:rsidRDefault="000F113E" w:rsidP="00F45C9D">
      <w:pPr>
        <w:pStyle w:val="a3"/>
        <w:numPr>
          <w:ilvl w:val="0"/>
          <w:numId w:val="3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многие современные экологические риски не могут быть зафиксированы и объяснены без проведения независимых научных исследований. Задача науки изучить имеющиеся экологические риски, объяснить причины их появления, выработать научные подходы и методы устранения и объявить результаты исследований общественности;</w:t>
      </w:r>
    </w:p>
    <w:p w:rsidR="000F113E" w:rsidRPr="00156EE1" w:rsidRDefault="000F113E" w:rsidP="00F45C9D">
      <w:pPr>
        <w:pStyle w:val="a3"/>
        <w:numPr>
          <w:ilvl w:val="0"/>
          <w:numId w:val="3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опираясь на данные научных исследований общественное экологическое </w:t>
      </w:r>
      <w:proofErr w:type="gram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движение</w:t>
      </w:r>
      <w:proofErr w:type="gram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формирует экологический интерес населения, аккумулирует его и, демонстрирует государству, требуя изменения положений и приоритетов политики в области природопользования и охраны окружающей среды;</w:t>
      </w:r>
    </w:p>
    <w:p w:rsidR="000F113E" w:rsidRPr="00156EE1" w:rsidRDefault="000F113E" w:rsidP="00F45C9D">
      <w:pPr>
        <w:pStyle w:val="a3"/>
        <w:numPr>
          <w:ilvl w:val="0"/>
          <w:numId w:val="3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государство, стремясь удовлетворить общественный интерес, направляет свои усилия на управление </w:t>
      </w:r>
      <w:proofErr w:type="spellStart"/>
      <w:proofErr w:type="gram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бизнес-структурами</w:t>
      </w:r>
      <w:proofErr w:type="spellEnd"/>
      <w:proofErr w:type="gram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, стимулируя их к изменению своей деятельности в целях сохранения окружающей среды и ресурсов.</w:t>
      </w:r>
    </w:p>
    <w:p w:rsidR="000F113E" w:rsidRPr="00856570" w:rsidRDefault="000F113E" w:rsidP="00F45C9D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Активизация субъектов политического процесса, как правило, следует после проявления негативных изменений в окружающей среде.</w:t>
      </w:r>
    </w:p>
    <w:p w:rsidR="000F113E" w:rsidRPr="00156EE1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Формировать экологическую политику необходимо на основе средового подхода, при котором основные природные компоненты и системы </w:t>
      </w: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рассматриваются не с точки зрения ресурсной базы экономического роста, а с позиции среды обитания человека. В соответствии с этим необходимо формировать органы управления, законодательную базу, выстраивать </w:t>
      </w:r>
      <w:proofErr w:type="gramStart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экономические механизмы</w:t>
      </w:r>
      <w:proofErr w:type="gramEnd"/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природопользования и осуществлять экологическое образование населения.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региональных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экополитических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субъектов должна быть направлена, в первую очередь, на решение собственно региональных экологических проблем. В этом случае будет снижено число нерешенных, локальных проблем, ухудшающих общее состояние природной среды.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При формировании и реализации региональной экологической политики необходимо выделить региональные внутренние и внешние экологические угрозы и направить усилия политических субъектов на их снижение.</w:t>
      </w:r>
    </w:p>
    <w:p w:rsidR="000F113E" w:rsidRPr="00156EE1" w:rsidRDefault="000F113E" w:rsidP="00F45C9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Индикаторы региональной экологической политики.</w:t>
      </w:r>
    </w:p>
    <w:p w:rsidR="000F113E" w:rsidRPr="00156EE1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К ним относят:</w:t>
      </w:r>
    </w:p>
    <w:p w:rsidR="000F113E" w:rsidRPr="00156EE1" w:rsidRDefault="00F45C9D" w:rsidP="00F45C9D">
      <w:pPr>
        <w:pStyle w:val="a3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="000F113E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ндикаторы природной среды</w:t>
      </w:r>
    </w:p>
    <w:p w:rsidR="000F113E" w:rsidRPr="00156EE1" w:rsidRDefault="00F45C9D" w:rsidP="00F45C9D">
      <w:pPr>
        <w:pStyle w:val="a3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="000F113E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ндикаторы хозяйственных отношений</w:t>
      </w:r>
    </w:p>
    <w:p w:rsidR="000F113E" w:rsidRPr="00156EE1" w:rsidRDefault="00F45C9D" w:rsidP="00F45C9D">
      <w:pPr>
        <w:pStyle w:val="a3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="000F113E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оциальные индикаторы</w:t>
      </w:r>
    </w:p>
    <w:p w:rsidR="000F113E" w:rsidRPr="00156EE1" w:rsidRDefault="00F45C9D" w:rsidP="00F45C9D">
      <w:pPr>
        <w:pStyle w:val="a3"/>
        <w:numPr>
          <w:ilvl w:val="0"/>
          <w:numId w:val="3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="000F113E" w:rsidRPr="00156EE1">
        <w:rPr>
          <w:rFonts w:ascii="Times New Roman" w:eastAsia="Times New Roman" w:hAnsi="Times New Roman" w:cs="Times New Roman"/>
          <w:sz w:val="28"/>
          <w:szCs w:val="28"/>
          <w:u w:val="single"/>
        </w:rPr>
        <w:t>омплексные территориальные индикаторы</w:t>
      </w:r>
    </w:p>
    <w:p w:rsidR="00F45C9D" w:rsidRPr="00F45C9D" w:rsidRDefault="00F45C9D" w:rsidP="00F45C9D">
      <w:pPr>
        <w:pStyle w:val="a3"/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13E" w:rsidRPr="00533A4D" w:rsidRDefault="00F45C9D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3A4D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0F113E" w:rsidRPr="00533A4D">
        <w:rPr>
          <w:rFonts w:ascii="Times New Roman" w:eastAsia="Times New Roman" w:hAnsi="Times New Roman" w:cs="Times New Roman"/>
          <w:i/>
          <w:sz w:val="28"/>
          <w:szCs w:val="28"/>
        </w:rPr>
        <w:t>Индикаторы природной среды: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Показатели климатических изменений (интенсивность эмиссии CO2, концентрация парниковых газов),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Показатели истощения озонового слоя (производство, потребление и эмиссия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хлорфторуглеродов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, уровень стратосферного озона в вертикальном столбе воздуха по данным спутников и наземных станций, с 70о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с.ш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. по 70о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ю.ш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>.),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Показатели качества воздуха (эмиссия оксидов серы и азота, эмиссия оксидов серы и азота в воздушную среду городов),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качества воды (количество растворенного кислорода и нитратов, показатели интегральной загрязненности воды, очистка сточных вод),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Показатели качества водных ресурсов (интенсивность использования водных ресурсов, потребление воды на душу населения, цены на воду),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Показатели качества лесных ресурсов (интенсивность использования лесных ресурсов, экспорт древесины, площадь лесов по отношению к территории страны, региона, распространение и площадь лесных пожаров),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Показатели качества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биоразнообразия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(количество видов млекопитающих, птиц, рыб, пресмыкающихся, земноводных, сосудистых растений, находящихся под угрозой исчезновения, количество и ранг ООПТ, площадь, занятая ООПТ),</w:t>
      </w:r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9D">
        <w:rPr>
          <w:rFonts w:ascii="Times New Roman" w:eastAsia="Times New Roman" w:hAnsi="Times New Roman" w:cs="Times New Roman"/>
          <w:sz w:val="28"/>
          <w:szCs w:val="28"/>
        </w:rPr>
        <w:t>Показатели качества почв (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эродированность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почв, фактическое и среднее фоновое содержание вредных веществ (мг/кг, по типам почв),</w:t>
      </w:r>
      <w:proofErr w:type="gramEnd"/>
    </w:p>
    <w:p w:rsidR="000F113E" w:rsidRPr="00F45C9D" w:rsidRDefault="000F113E" w:rsidP="00F45C9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Показатели качества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переувлажненных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земель и болот (площадь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переувлажненных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земель и болот по отношению к территории страны, региона),</w:t>
      </w:r>
    </w:p>
    <w:p w:rsidR="000F113E" w:rsidRPr="00533A4D" w:rsidRDefault="000F113E" w:rsidP="00533A4D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Показатели качества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ацидификация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закисление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) природной среды (количество и повторяемость кислотных осадков, концентрация нитратов в почве, </w:t>
      </w:r>
      <w:proofErr w:type="spellStart"/>
      <w:r w:rsidRPr="00F45C9D">
        <w:rPr>
          <w:rFonts w:ascii="Times New Roman" w:eastAsia="Times New Roman" w:hAnsi="Times New Roman" w:cs="Times New Roman"/>
          <w:sz w:val="28"/>
          <w:szCs w:val="28"/>
        </w:rPr>
        <w:t>эвтрофикация</w:t>
      </w:r>
      <w:proofErr w:type="spellEnd"/>
      <w:r w:rsidRPr="00F45C9D">
        <w:rPr>
          <w:rFonts w:ascii="Times New Roman" w:eastAsia="Times New Roman" w:hAnsi="Times New Roman" w:cs="Times New Roman"/>
          <w:sz w:val="28"/>
          <w:szCs w:val="28"/>
        </w:rPr>
        <w:t xml:space="preserve"> водоемов).</w:t>
      </w:r>
    </w:p>
    <w:p w:rsidR="000F113E" w:rsidRPr="00533A4D" w:rsidRDefault="00F45C9D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3A4D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0F113E" w:rsidRPr="00533A4D">
        <w:rPr>
          <w:rFonts w:ascii="Times New Roman" w:eastAsia="Times New Roman" w:hAnsi="Times New Roman" w:cs="Times New Roman"/>
          <w:i/>
          <w:sz w:val="28"/>
          <w:szCs w:val="28"/>
        </w:rPr>
        <w:t xml:space="preserve"> Индикаторы хозяйственных отношений: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общее состояние экономики (общий и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подушевой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ВВП и ВНП, отраслевая структура хозяйства, удельная ресурсоемкость производства, структура внешнеэкономических связей, состояние основных фондов, состояние ресурсно-сырьевой базы, доля сырьевых отраслей в общем объеме промышленного производства в регионе, собственные доходы региона, собственные расходы региона);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потребление энергии (энергопотребление на единицу ВВП, энергопотребление на душу населения, структура источников энергии, цена на энергоносители, доля «физиологического» энергопотребления);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lastRenderedPageBreak/>
        <w:t>уровень развития транспорта (интенсивность дорожного движения, плотность дорожной инфраструктуры, цена автомобильного топлива и налоги);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источники потенциального риска (количество и распространение предприятий ВПК, трубопроводов,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газо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>- и нефтехранилищ, АЭС, ГЭС, химического производства и др.);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уровень развития сельского хозяйства (интенсивность применения азотных и фосфатных удобрений, плотность животноводства, интенсивность использования пестицидов, площадь пахотных земель, уровень механизации сельского хозяйства, интенсивность мелиораций, продуктивность сельхозугодий),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наличие и утилизация отходов (количество отходов по видам, на единицу ВВП, на душу населения, переработка и захоронение отходов по видам),</w:t>
      </w:r>
    </w:p>
    <w:p w:rsidR="000F113E" w:rsidRPr="00856570" w:rsidRDefault="000F113E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наличие и утилизация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поллютантов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(ПДК, ПДС, ПДВ, квоты на эмиссию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поллютантов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>, доля временно согласованных выбросов и сбросов, расходы на сокращение и контроль загрязнений).</w:t>
      </w:r>
    </w:p>
    <w:p w:rsidR="000F113E" w:rsidRPr="00533A4D" w:rsidRDefault="00533A4D" w:rsidP="00F45C9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3A4D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0F113E" w:rsidRPr="00533A4D">
        <w:rPr>
          <w:rFonts w:ascii="Times New Roman" w:eastAsia="Times New Roman" w:hAnsi="Times New Roman" w:cs="Times New Roman"/>
          <w:i/>
          <w:sz w:val="28"/>
          <w:szCs w:val="28"/>
        </w:rPr>
        <w:t xml:space="preserve"> Социальные индикаторы:</w:t>
      </w:r>
    </w:p>
    <w:p w:rsidR="000F113E" w:rsidRPr="00F45C9D" w:rsidRDefault="000F113E" w:rsidP="00F45C9D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население (естественное движение и миграции, половозрастная структура),</w:t>
      </w:r>
    </w:p>
    <w:p w:rsidR="000F113E" w:rsidRPr="00156EE1" w:rsidRDefault="000F113E" w:rsidP="00156EE1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расселение населения (плотность населения, структура опорного каркаса, численность городского и сельского населения, количество мегаполисов, численность населения, проживающего в зонах высокого загрязнения),</w:t>
      </w:r>
    </w:p>
    <w:p w:rsidR="000F113E" w:rsidRPr="00F45C9D" w:rsidRDefault="000F113E" w:rsidP="00F45C9D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здоровье населения (заболеваемость населения, связанная с неблагоприятным состоянием окружающей среды, в том числе аллергические, генетические болезни и новообразования, продолжительность жизни, детская смертность, уровень популяционного здоровья по коэффициенту суммарной оценки здоровья населения),</w:t>
      </w:r>
    </w:p>
    <w:p w:rsidR="000F113E" w:rsidRPr="00F45C9D" w:rsidRDefault="000F113E" w:rsidP="00F45C9D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потребление (объем и структура частного потребления, объем и структура потребления на уровне региона и страны, средние денежные доходы населения региона по отношению к среднему уровню по стране),</w:t>
      </w:r>
    </w:p>
    <w:p w:rsidR="000F113E" w:rsidRPr="00F45C9D" w:rsidRDefault="000F113E" w:rsidP="00F45C9D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уровень образования (количество населения, имеющее неполное среднее, среднее, среднее специальное и высшее образование, уровень экологической грамотности населения, экологическая информация населения),</w:t>
      </w:r>
    </w:p>
    <w:p w:rsidR="000F113E" w:rsidRPr="00533A4D" w:rsidRDefault="000F113E" w:rsidP="00533A4D">
      <w:pPr>
        <w:pStyle w:val="a3"/>
        <w:numPr>
          <w:ilvl w:val="0"/>
          <w:numId w:val="3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9D">
        <w:rPr>
          <w:rFonts w:ascii="Times New Roman" w:eastAsia="Times New Roman" w:hAnsi="Times New Roman" w:cs="Times New Roman"/>
          <w:sz w:val="28"/>
          <w:szCs w:val="28"/>
        </w:rPr>
        <w:t>экологическое благополучие (величина «экологического» налога).</w:t>
      </w:r>
    </w:p>
    <w:p w:rsidR="000F113E" w:rsidRPr="00856570" w:rsidRDefault="000F113E" w:rsidP="00533A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4) Комплексные территориальные индикаторы:</w:t>
      </w:r>
    </w:p>
    <w:p w:rsidR="000F113E" w:rsidRPr="00856570" w:rsidRDefault="000F113E" w:rsidP="00533A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Показатели территориальной структуры (соотношение разных типов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геоэкосистем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, соотношение типов </w:t>
      </w:r>
      <w:proofErr w:type="spellStart"/>
      <w:r w:rsidRPr="00856570">
        <w:rPr>
          <w:rFonts w:ascii="Times New Roman" w:eastAsia="Times New Roman" w:hAnsi="Times New Roman" w:cs="Times New Roman"/>
          <w:sz w:val="28"/>
          <w:szCs w:val="28"/>
        </w:rPr>
        <w:t>геоэкосистем</w:t>
      </w:r>
      <w:proofErr w:type="spellEnd"/>
      <w:r w:rsidRPr="00856570">
        <w:rPr>
          <w:rFonts w:ascii="Times New Roman" w:eastAsia="Times New Roman" w:hAnsi="Times New Roman" w:cs="Times New Roman"/>
          <w:sz w:val="28"/>
          <w:szCs w:val="28"/>
        </w:rPr>
        <w:t xml:space="preserve"> с единицами ландшафтной структуры, состав и структура растительного покрова),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570">
        <w:rPr>
          <w:rFonts w:ascii="Times New Roman" w:eastAsia="Times New Roman" w:hAnsi="Times New Roman" w:cs="Times New Roman"/>
          <w:sz w:val="28"/>
          <w:szCs w:val="28"/>
        </w:rPr>
        <w:t>Показатели экологической напряженности (соотношение ареалов с разной остротой экологических ситуаций, соотношение элементов экологического и опорного каркасов).</w:t>
      </w:r>
    </w:p>
    <w:p w:rsidR="000F113E" w:rsidRPr="00856570" w:rsidRDefault="000F113E" w:rsidP="0085657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F113E" w:rsidRPr="00856570" w:rsidSect="004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3D9"/>
    <w:multiLevelType w:val="hybridMultilevel"/>
    <w:tmpl w:val="FBDE1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92211"/>
    <w:multiLevelType w:val="hybridMultilevel"/>
    <w:tmpl w:val="463CF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130363"/>
    <w:multiLevelType w:val="hybridMultilevel"/>
    <w:tmpl w:val="393AE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71EF6"/>
    <w:multiLevelType w:val="hybridMultilevel"/>
    <w:tmpl w:val="E51A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E2531"/>
    <w:multiLevelType w:val="hybridMultilevel"/>
    <w:tmpl w:val="C3F8887C"/>
    <w:lvl w:ilvl="0" w:tplc="D2F0E7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D2F9B"/>
    <w:multiLevelType w:val="hybridMultilevel"/>
    <w:tmpl w:val="F1AA9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74B94"/>
    <w:multiLevelType w:val="hybridMultilevel"/>
    <w:tmpl w:val="4ABE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4EC"/>
    <w:multiLevelType w:val="hybridMultilevel"/>
    <w:tmpl w:val="25327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47FE6"/>
    <w:multiLevelType w:val="hybridMultilevel"/>
    <w:tmpl w:val="BAB0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D5D24"/>
    <w:multiLevelType w:val="hybridMultilevel"/>
    <w:tmpl w:val="F51CCF2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0">
    <w:nsid w:val="309A51BC"/>
    <w:multiLevelType w:val="hybridMultilevel"/>
    <w:tmpl w:val="AEF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33AEC"/>
    <w:multiLevelType w:val="hybridMultilevel"/>
    <w:tmpl w:val="773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30BBA"/>
    <w:multiLevelType w:val="hybridMultilevel"/>
    <w:tmpl w:val="056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A6AAC"/>
    <w:multiLevelType w:val="hybridMultilevel"/>
    <w:tmpl w:val="2ABCE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CA264E"/>
    <w:multiLevelType w:val="hybridMultilevel"/>
    <w:tmpl w:val="603C31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1326518"/>
    <w:multiLevelType w:val="hybridMultilevel"/>
    <w:tmpl w:val="4A14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74D4D"/>
    <w:multiLevelType w:val="hybridMultilevel"/>
    <w:tmpl w:val="8AE60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E242C4"/>
    <w:multiLevelType w:val="hybridMultilevel"/>
    <w:tmpl w:val="2452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757A3"/>
    <w:multiLevelType w:val="hybridMultilevel"/>
    <w:tmpl w:val="AE5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A3AFD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5137BE7"/>
    <w:multiLevelType w:val="hybridMultilevel"/>
    <w:tmpl w:val="4A10A43C"/>
    <w:lvl w:ilvl="0" w:tplc="A92EBDA0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70E36"/>
    <w:multiLevelType w:val="hybridMultilevel"/>
    <w:tmpl w:val="BD94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C4972"/>
    <w:multiLevelType w:val="hybridMultilevel"/>
    <w:tmpl w:val="C69A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4742A"/>
    <w:multiLevelType w:val="hybridMultilevel"/>
    <w:tmpl w:val="76DA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F702F"/>
    <w:multiLevelType w:val="hybridMultilevel"/>
    <w:tmpl w:val="F9583C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5">
    <w:nsid w:val="5B3F4ABA"/>
    <w:multiLevelType w:val="hybridMultilevel"/>
    <w:tmpl w:val="ECE2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61650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1AE0F85"/>
    <w:multiLevelType w:val="hybridMultilevel"/>
    <w:tmpl w:val="0EDA4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36736C"/>
    <w:multiLevelType w:val="hybridMultilevel"/>
    <w:tmpl w:val="9A1223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31156E"/>
    <w:multiLevelType w:val="hybridMultilevel"/>
    <w:tmpl w:val="918A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3808AD"/>
    <w:multiLevelType w:val="hybridMultilevel"/>
    <w:tmpl w:val="0E2C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62B75"/>
    <w:multiLevelType w:val="hybridMultilevel"/>
    <w:tmpl w:val="BB5C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F6771"/>
    <w:multiLevelType w:val="hybridMultilevel"/>
    <w:tmpl w:val="31BEBF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93E02ED"/>
    <w:multiLevelType w:val="hybridMultilevel"/>
    <w:tmpl w:val="DD406B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FA7A6B"/>
    <w:multiLevelType w:val="hybridMultilevel"/>
    <w:tmpl w:val="67AA7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0"/>
  </w:num>
  <w:num w:numId="3">
    <w:abstractNumId w:val="27"/>
  </w:num>
  <w:num w:numId="4">
    <w:abstractNumId w:val="8"/>
  </w:num>
  <w:num w:numId="5">
    <w:abstractNumId w:val="15"/>
  </w:num>
  <w:num w:numId="6">
    <w:abstractNumId w:val="11"/>
  </w:num>
  <w:num w:numId="7">
    <w:abstractNumId w:val="22"/>
  </w:num>
  <w:num w:numId="8">
    <w:abstractNumId w:val="12"/>
  </w:num>
  <w:num w:numId="9">
    <w:abstractNumId w:val="21"/>
  </w:num>
  <w:num w:numId="10">
    <w:abstractNumId w:val="5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1"/>
  </w:num>
  <w:num w:numId="15">
    <w:abstractNumId w:val="17"/>
  </w:num>
  <w:num w:numId="16">
    <w:abstractNumId w:val="14"/>
  </w:num>
  <w:num w:numId="17">
    <w:abstractNumId w:val="29"/>
  </w:num>
  <w:num w:numId="18">
    <w:abstractNumId w:val="4"/>
  </w:num>
  <w:num w:numId="19">
    <w:abstractNumId w:val="18"/>
  </w:num>
  <w:num w:numId="20">
    <w:abstractNumId w:val="24"/>
  </w:num>
  <w:num w:numId="21">
    <w:abstractNumId w:val="9"/>
  </w:num>
  <w:num w:numId="22">
    <w:abstractNumId w:val="19"/>
  </w:num>
  <w:num w:numId="23">
    <w:abstractNumId w:val="26"/>
  </w:num>
  <w:num w:numId="24">
    <w:abstractNumId w:val="2"/>
  </w:num>
  <w:num w:numId="25">
    <w:abstractNumId w:val="10"/>
  </w:num>
  <w:num w:numId="26">
    <w:abstractNumId w:val="25"/>
  </w:num>
  <w:num w:numId="27">
    <w:abstractNumId w:val="6"/>
  </w:num>
  <w:num w:numId="28">
    <w:abstractNumId w:val="13"/>
  </w:num>
  <w:num w:numId="29">
    <w:abstractNumId w:val="33"/>
  </w:num>
  <w:num w:numId="30">
    <w:abstractNumId w:val="30"/>
  </w:num>
  <w:num w:numId="31">
    <w:abstractNumId w:val="0"/>
  </w:num>
  <w:num w:numId="32">
    <w:abstractNumId w:val="16"/>
  </w:num>
  <w:num w:numId="33">
    <w:abstractNumId w:val="34"/>
  </w:num>
  <w:num w:numId="34">
    <w:abstractNumId w:val="32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370B4"/>
    <w:rsid w:val="00012DC7"/>
    <w:rsid w:val="000215A4"/>
    <w:rsid w:val="00060691"/>
    <w:rsid w:val="000C622C"/>
    <w:rsid w:val="000F113E"/>
    <w:rsid w:val="00156EE1"/>
    <w:rsid w:val="002370B4"/>
    <w:rsid w:val="00262107"/>
    <w:rsid w:val="00286A85"/>
    <w:rsid w:val="002D16CA"/>
    <w:rsid w:val="00386139"/>
    <w:rsid w:val="004A511A"/>
    <w:rsid w:val="004B187A"/>
    <w:rsid w:val="00533A4D"/>
    <w:rsid w:val="005458D6"/>
    <w:rsid w:val="005A0174"/>
    <w:rsid w:val="005D0FC4"/>
    <w:rsid w:val="005E243F"/>
    <w:rsid w:val="005F297F"/>
    <w:rsid w:val="0060224E"/>
    <w:rsid w:val="006617D6"/>
    <w:rsid w:val="006925C4"/>
    <w:rsid w:val="007176D7"/>
    <w:rsid w:val="00726ACC"/>
    <w:rsid w:val="00760600"/>
    <w:rsid w:val="007B62CD"/>
    <w:rsid w:val="007D597C"/>
    <w:rsid w:val="00856570"/>
    <w:rsid w:val="00867C14"/>
    <w:rsid w:val="00904BEF"/>
    <w:rsid w:val="009E31AD"/>
    <w:rsid w:val="00AE7013"/>
    <w:rsid w:val="00B24E2E"/>
    <w:rsid w:val="00B63990"/>
    <w:rsid w:val="00C46D1A"/>
    <w:rsid w:val="00C97EC0"/>
    <w:rsid w:val="00CD1156"/>
    <w:rsid w:val="00DD0E16"/>
    <w:rsid w:val="00E91C0D"/>
    <w:rsid w:val="00E9486A"/>
    <w:rsid w:val="00F45C9D"/>
    <w:rsid w:val="00F736AD"/>
    <w:rsid w:val="00FB4400"/>
    <w:rsid w:val="00F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1A"/>
  </w:style>
  <w:style w:type="paragraph" w:styleId="1">
    <w:name w:val="heading 1"/>
    <w:basedOn w:val="a"/>
    <w:next w:val="a"/>
    <w:link w:val="10"/>
    <w:uiPriority w:val="9"/>
    <w:qFormat/>
    <w:rsid w:val="00F73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3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29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73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5">
    <w:name w:val="Table Grid"/>
    <w:basedOn w:val="a1"/>
    <w:uiPriority w:val="59"/>
    <w:rsid w:val="00F736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dma-kh2-u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25</cp:revision>
  <dcterms:created xsi:type="dcterms:W3CDTF">2020-04-10T06:05:00Z</dcterms:created>
  <dcterms:modified xsi:type="dcterms:W3CDTF">2020-11-19T05:36:00Z</dcterms:modified>
</cp:coreProperties>
</file>