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B4" w:rsidRPr="007B62CD" w:rsidRDefault="009E31AD" w:rsidP="007B62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Лекционный материал на 26</w:t>
      </w:r>
      <w:r w:rsidR="00760600">
        <w:rPr>
          <w:rFonts w:ascii="Times New Roman" w:hAnsi="Times New Roman" w:cs="Times New Roman"/>
          <w:b/>
          <w:sz w:val="28"/>
          <w:szCs w:val="28"/>
        </w:rPr>
        <w:t>.10</w:t>
      </w:r>
      <w:r w:rsidR="005458D6" w:rsidRPr="007B62CD">
        <w:rPr>
          <w:rFonts w:ascii="Times New Roman" w:hAnsi="Times New Roman" w:cs="Times New Roman"/>
          <w:b/>
          <w:sz w:val="28"/>
          <w:szCs w:val="28"/>
        </w:rPr>
        <w:t>.20 г. для группы ГМУ-19</w:t>
      </w:r>
    </w:p>
    <w:p w:rsidR="002370B4" w:rsidRPr="007B62CD" w:rsidRDefault="002370B4" w:rsidP="007B62C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62CD"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Необходимо </w:t>
      </w:r>
      <w:r w:rsidRPr="007B62CD">
        <w:rPr>
          <w:rFonts w:ascii="Times New Roman" w:hAnsi="Times New Roman" w:cs="Times New Roman"/>
          <w:b/>
          <w:i/>
          <w:sz w:val="28"/>
          <w:szCs w:val="28"/>
        </w:rPr>
        <w:t xml:space="preserve">законспектировать в тетрадь (выделенные строки) и загрузить в личный кабинет. </w:t>
      </w:r>
    </w:p>
    <w:p w:rsidR="007B62CD" w:rsidRDefault="007B62CD" w:rsidP="007B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21984180"/>
      <w:bookmarkStart w:id="1" w:name="_Toc343094871"/>
    </w:p>
    <w:bookmarkEnd w:id="0"/>
    <w:bookmarkEnd w:id="1"/>
    <w:p w:rsidR="00C46D1A" w:rsidRDefault="005E243F" w:rsidP="00C46D1A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C46D1A" w:rsidRPr="00C46D1A">
        <w:rPr>
          <w:rFonts w:ascii="Times New Roman" w:hAnsi="Times New Roman"/>
          <w:b/>
          <w:sz w:val="28"/>
          <w:szCs w:val="28"/>
        </w:rPr>
        <w:t>Источники загрязнения природы.</w:t>
      </w:r>
    </w:p>
    <w:p w:rsidR="00C46D1A" w:rsidRPr="00C46D1A" w:rsidRDefault="00C46D1A" w:rsidP="00C46D1A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Выяснение причин усиления экологической напряженности необходимо для поиска выхода из затяжной кризисной ситуации. </w:t>
      </w:r>
      <w:proofErr w:type="gramStart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Среди долговременных негативных тенденций, сложившихся в прошлом, наиболее неблагоприятное воздействие на состояние окружающей среды в России оказывают следующие. </w:t>
      </w:r>
      <w:proofErr w:type="gramEnd"/>
    </w:p>
    <w:p w:rsidR="00C46D1A" w:rsidRPr="00C46D1A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>Антиэкологическая</w:t>
      </w:r>
      <w:proofErr w:type="spellEnd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политика, истоки которой берут начало в конце 20-х гг</w:t>
      </w:r>
      <w:proofErr w:type="gramStart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.. </w:t>
      </w:r>
      <w:proofErr w:type="gramEnd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Когда вслед за ликвидацией </w:t>
      </w:r>
      <w:proofErr w:type="spellStart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>НЭПа</w:t>
      </w:r>
      <w:proofErr w:type="spellEnd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стала складываться централизованная система управления. Она открывала возможности для реализации любого заданного направления развития хозяйства. Такое направление было избрано и названо индустриализацией на базе электрификации. Экономическая политика, основанная на идеологии покорения природы, приводила к масштабным нарушениям окружающей среды. Это со всей очевидностью демонстрируют эпопея освоения целинных земель, создание зоны по выращиванию хлопчатника и широкомасштабная добыча нефти и газа.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Экстенсивное развитие экономики, сопровождающееся одноцелевым использованием природных ресурсов, огромными объемами добычи и продажи сырья, отсутствием системы переработки бытовых и производственных отходов, освоением новых и списанием нарушенных сельхозугодий. Избыточная материал</w:t>
      </w:r>
      <w:proofErr w:type="gramStart"/>
      <w:r w:rsidRPr="006D2DF3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и энергоемкость производства обусловливает увеличение вредных выбросов в окружающую среду, а также прогрессирующее падение эффективности </w:t>
      </w:r>
      <w:proofErr w:type="spellStart"/>
      <w:r w:rsidRPr="006D2DF3">
        <w:rPr>
          <w:rFonts w:ascii="Times New Roman" w:eastAsia="Times New Roman" w:hAnsi="Times New Roman" w:cs="Times New Roman"/>
          <w:sz w:val="28"/>
          <w:szCs w:val="28"/>
        </w:rPr>
        <w:t>природоэксплуатирующих</w:t>
      </w:r>
      <w:proofErr w:type="spellEnd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отраслей, вызывает необходимость постоянно увеличивать долю финансовых и материальных ресурсов, направляемых в эти отрасли только для </w:t>
      </w:r>
      <w:r w:rsidRPr="006D2D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поддержания достигнутых объемов производства. Более 80% добываемых ресурсов тратится на поддержание </w:t>
      </w:r>
      <w:proofErr w:type="spellStart"/>
      <w:r w:rsidRPr="006D2DF3">
        <w:rPr>
          <w:rFonts w:ascii="Times New Roman" w:eastAsia="Times New Roman" w:hAnsi="Times New Roman" w:cs="Times New Roman"/>
          <w:sz w:val="28"/>
          <w:szCs w:val="28"/>
        </w:rPr>
        <w:t>ресурсодобываюших</w:t>
      </w:r>
      <w:proofErr w:type="spellEnd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и ресурсоемких обрабатывающих производств; выплавка 1 т стали "съедает" до 20 т первичных ресурсов (включая вскрышные и вмещающие породы). Более 75% отходов производства имеют ту или иную степень токсичности для окружающей среды и здоровья человека.</w:t>
      </w:r>
    </w:p>
    <w:p w:rsidR="00C46D1A" w:rsidRPr="00C46D1A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Деформированная структура народного хозяйства с превалированием </w:t>
      </w:r>
      <w:proofErr w:type="spellStart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>природоэксплуатирующих</w:t>
      </w:r>
      <w:proofErr w:type="spellEnd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производств, создающих постоянную чрезмерную нагрузку на экосистемы; гипертрофированное развитие ресурсоемких, "грязных" производств - энергетики, металлургии, горнодобывающей промышленности.</w:t>
      </w:r>
    </w:p>
    <w:p w:rsidR="00C46D1A" w:rsidRPr="00C46D1A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Монополизм государственной собственности на природные ресурсы и средства производства лишал </w:t>
      </w:r>
      <w:proofErr w:type="spellStart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>природопользователей</w:t>
      </w:r>
      <w:proofErr w:type="spellEnd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стимулов к охране окружающей среды, сводил к формальностям государственный </w:t>
      </w:r>
      <w:proofErr w:type="gramStart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>контроль за</w:t>
      </w:r>
      <w:proofErr w:type="gramEnd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экологической ситуацией. Получалось так: государство само через свои предприятия эксплуатировало природные ресурсы, само себя контролировало через соответствующие органы и само себя наказывало, в том числе и материально, за нарушения законодательства, которое оно же, государство, принимало.</w:t>
      </w:r>
    </w:p>
    <w:p w:rsidR="00C46D1A" w:rsidRPr="00C46D1A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Милитаризация экономики - это господство военно-промышленного комплекса (ВПК), "закрытого" и потому бесконтрольного в отношении используемых технологических процессов, размещения и расширения мощностей, потребления производственных, в том числе природных ресурсов. Территории, занятые различными объектами ВПК, в несколько раз превышают территории, занимаемые всеми заповедниками страны.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Износ производственных фондов; вплоть до конца 80-х гг. не менее 70-80% всех производственных капитальных вложений направлялось не на перманентную реконструкцию и техническое обновление производственного аппарата, как нормального способа экономического развития, а на новое строительство и расширение мощностей. В результате сегодня степень </w:t>
      </w:r>
      <w:r w:rsidRPr="006D2D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износа технологического оборудования в базовых отраслях народного хозяйства достигает 85 - 90%; на подавляющем большинстве предприятий используется отсталая </w:t>
      </w:r>
      <w:proofErr w:type="spellStart"/>
      <w:r w:rsidRPr="006D2DF3">
        <w:rPr>
          <w:rFonts w:ascii="Times New Roman" w:eastAsia="Times New Roman" w:hAnsi="Times New Roman" w:cs="Times New Roman"/>
          <w:sz w:val="28"/>
          <w:szCs w:val="28"/>
        </w:rPr>
        <w:t>ресурсорасточительпая</w:t>
      </w:r>
      <w:proofErr w:type="spellEnd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экологически агрессивная технология; на многих предприятиях отсутствуют очистные сооружения.</w:t>
      </w:r>
    </w:p>
    <w:p w:rsidR="00C46D1A" w:rsidRPr="00C46D1A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Устаревшее и неэффективное природоохранное оборудование на завершающих стадиях технологических цепочек.</w:t>
      </w:r>
    </w:p>
    <w:p w:rsidR="00C46D1A" w:rsidRPr="00C46D1A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Чрезмерная химизация сельского хозяйства. В течение нескольких десятилетий химические способы защиты сельскохозяйственных культур от болезней и вредителей признавались наиболее перспективными методами повышения продуктивности сельскохозяйственного производства. </w:t>
      </w:r>
      <w:proofErr w:type="gramStart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>В нашей с гране до последнего времени это представление служило "обоснованием" для выделения значительных средств па производство пестицидов в ущерб развитию альтернативных, экологически чистых технологий ведения сельского хозяйства.</w:t>
      </w:r>
      <w:proofErr w:type="gramEnd"/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Бесплатность природных ресурсов, вытекающая из вульгарного толкования трудовой теории стоимости К. Маркса, вела к увеличению удельных норм расхода природных ресурсов при производстве продукции. Самыми варварскими методами у природы отбиралось все лучшее, а остальные отбрасывалось, поскольку было бесплатным. Расчеты показывают, что </w:t>
      </w:r>
      <w:proofErr w:type="spellStart"/>
      <w:r w:rsidRPr="006D2DF3">
        <w:rPr>
          <w:rFonts w:ascii="Times New Roman" w:eastAsia="Times New Roman" w:hAnsi="Times New Roman" w:cs="Times New Roman"/>
          <w:sz w:val="28"/>
          <w:szCs w:val="28"/>
        </w:rPr>
        <w:t>природоемкость</w:t>
      </w:r>
      <w:proofErr w:type="spellEnd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отечественной продукции по многим видам в 2 - 3 раза выше, чем в развитых странах.</w:t>
      </w:r>
    </w:p>
    <w:p w:rsidR="00C46D1A" w:rsidRPr="00C46D1A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Слабая правовая и экономическая защита природы. Существовавшее экологическое законодательство слабо защищало природу от хищнической ее эксплуатации. Отсутствовал единый комплексный закон об охране окружающей природной среды, а действующее </w:t>
      </w:r>
      <w:proofErr w:type="spellStart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>природоресурсное</w:t>
      </w:r>
      <w:proofErr w:type="spellEnd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законодательство было далеко от совершенства. Сложившаяся система экологических норм и правил не способствовала рациональному природопользованию и в большинстве случаев не могла предотвратить экологический ущерб. Экономические меры воздействия не давали желаемых результатов.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Просчеты в развитии и размещении производительных сил. Во время войны осуществлялась эвакуация заводов на </w:t>
      </w:r>
      <w:proofErr w:type="gramStart"/>
      <w:r w:rsidRPr="006D2DF3">
        <w:rPr>
          <w:rFonts w:ascii="Times New Roman" w:eastAsia="Times New Roman" w:hAnsi="Times New Roman" w:cs="Times New Roman"/>
          <w:sz w:val="28"/>
          <w:szCs w:val="28"/>
        </w:rPr>
        <w:t>восток</w:t>
      </w:r>
      <w:proofErr w:type="gramEnd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; ни о </w:t>
      </w:r>
      <w:proofErr w:type="gramStart"/>
      <w:r w:rsidRPr="006D2DF3">
        <w:rPr>
          <w:rFonts w:ascii="Times New Roman" w:eastAsia="Times New Roman" w:hAnsi="Times New Roman" w:cs="Times New Roman"/>
          <w:sz w:val="28"/>
          <w:szCs w:val="28"/>
        </w:rPr>
        <w:t>каком</w:t>
      </w:r>
      <w:proofErr w:type="gramEnd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учете природного фактора при выборе места их расположения и речи не было. Позже, когда стали очевидными ошибки размещения, были предприняты попытки "подтянуть природу" к промышленному производству, например, перебросить часть стока рек и др.</w:t>
      </w:r>
    </w:p>
    <w:p w:rsidR="00C46D1A" w:rsidRPr="00C46D1A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Рост городского населения, рост предложения товаров и услуг государственного и частного секторов экономики за счет потребления природных ресурсов.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Отсутствие в стране стройной системы экологического образования и воспитания, формирования экологического мировоззрения; преобладание потребительской психологии; слабое развитие экологической культуры и этики. Нехватка квалифицированных специалистов в области охраны окружающей среды. </w:t>
      </w:r>
      <w:proofErr w:type="gramStart"/>
      <w:r w:rsidRPr="006D2DF3">
        <w:rPr>
          <w:rFonts w:ascii="Times New Roman" w:eastAsia="Times New Roman" w:hAnsi="Times New Roman" w:cs="Times New Roman"/>
          <w:sz w:val="28"/>
          <w:szCs w:val="28"/>
        </w:rPr>
        <w:t>Их не хватает и для укомплектования природоохранных служб, и на производстве (особенно на предприятиях повышенной экологической опасности), и в органах управления, и в отраслевых и академических институтах, и при организации внешнеэкономической деятельности.. Особо острая потребность в специалистах системного комплексного уровня подготовки, способных видеть проблемы в целом, а не отдельные аспекты, и принимать решения на основе всестороннего анализа экологических факторов.</w:t>
      </w:r>
      <w:proofErr w:type="gramEnd"/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Искаженность системы оценок экологической выгоды и экологических издержек, ведущая к убыточности </w:t>
      </w:r>
      <w:proofErr w:type="spellStart"/>
      <w:r w:rsidRPr="006D2DF3">
        <w:rPr>
          <w:rFonts w:ascii="Times New Roman" w:eastAsia="Times New Roman" w:hAnsi="Times New Roman" w:cs="Times New Roman"/>
          <w:sz w:val="28"/>
          <w:szCs w:val="28"/>
        </w:rPr>
        <w:t>природосбережения</w:t>
      </w:r>
      <w:proofErr w:type="spellEnd"/>
      <w:r w:rsidRPr="006D2DF3">
        <w:rPr>
          <w:rFonts w:ascii="Times New Roman" w:eastAsia="Times New Roman" w:hAnsi="Times New Roman" w:cs="Times New Roman"/>
          <w:sz w:val="28"/>
          <w:szCs w:val="28"/>
        </w:rPr>
        <w:t>: отсутствие институтов и собственного опыта экологического регулирования хозяйственной деятельности.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Начало радикальных реформ в стране усилило постоянно действующие факторы разрушения природной среды, и прибавило новые, среди них: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Распад СССР ухудшил реальные возможности решения проблем охраны окружающей </w:t>
      </w:r>
      <w:proofErr w:type="gramStart"/>
      <w:r w:rsidRPr="006D2DF3">
        <w:rPr>
          <w:rFonts w:ascii="Times New Roman" w:eastAsia="Times New Roman" w:hAnsi="Times New Roman" w:cs="Times New Roman"/>
          <w:sz w:val="28"/>
          <w:szCs w:val="28"/>
        </w:rPr>
        <w:t>среды</w:t>
      </w:r>
      <w:proofErr w:type="gramEnd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как на межгосударственном уровне, так и в самой России.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Нарушение межреспубликанских хозяйственных связей отрицательно сказалось на выпуске природоохранного оборудования, реагентов для очистки сточных вод и отходящих газов, другой продукции, необходимой для охраны окружающей среды. Возникли трудности при решении межреспубликанских экологических проблем, вызванных подъемом уровня Каспийского моря, необходимостью охраны вод в приграничных и трансграничных водоемах и переносом загрязнений через атмосферу и др. </w:t>
      </w:r>
    </w:p>
    <w:p w:rsidR="00C46D1A" w:rsidRPr="00C46D1A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Усилился конфликтный характер отношений при использовании природных ресурсов (например, по продаже туркменского природного газа Украине, российских энергоресурсов и цветных металлов Прибалтике и т.п.). </w:t>
      </w:r>
      <w:proofErr w:type="gramStart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>Произошло свертывание и децентрализация долгосрочного) финансирования, что привело к измельчению экологических усилий, к политике бессистемного "латания дыр" на местах.</w:t>
      </w:r>
      <w:proofErr w:type="gramEnd"/>
    </w:p>
    <w:p w:rsidR="00C46D1A" w:rsidRPr="00C46D1A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Межнациональные конфликты и войны. Помимо прямого ущерба для природы и среды обитания в целом (разрушение земной поверхности, нарушение водоснабжения, загрязнение рек и др.) межнациональные конфликты полностью изменили приоритеты общественного </w:t>
      </w:r>
      <w:proofErr w:type="gramStart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>развития</w:t>
      </w:r>
      <w:proofErr w:type="gramEnd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отодвинув вопросы экологии на задний план. Население занято проблемами каждодневного выживания - ему не до природной среды. Крайне обостряет обстановку угроза разрушения коммуникаций, трубопроводов и природоохранных сооружений, аварий на АЭС и т.п.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Экологические последствия демилитаризации, </w:t>
      </w:r>
      <w:proofErr w:type="spellStart"/>
      <w:r w:rsidRPr="006D2DF3">
        <w:rPr>
          <w:rFonts w:ascii="Times New Roman" w:eastAsia="Times New Roman" w:hAnsi="Times New Roman" w:cs="Times New Roman"/>
          <w:sz w:val="28"/>
          <w:szCs w:val="28"/>
        </w:rPr>
        <w:t>деатомизации</w:t>
      </w:r>
      <w:proofErr w:type="spellEnd"/>
      <w:proofErr w:type="gramStart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дин из главных виновников кризиса экосистемы в прошлом - милитаризм, продолжает отравлять природную среду и на стадии демилитаризации нашего общества. Но демилитаризация и сама порождает новые экологические трудности: угрозу поражения природной среды в </w:t>
      </w:r>
      <w:proofErr w:type="gramStart"/>
      <w:r w:rsidRPr="006D2DF3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а захоронением ядерных отходов; проблему безопасного уничтожения атомного и химического оружия, использования испытательных полигонов других территорий, занятых прежде военными объектами.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Переход к рыночным отношениям, на первом этапе формирования которых возможно обострение экологических проблем в силу действия следующих факторов: </w:t>
      </w:r>
      <w:r w:rsidRPr="006D2DF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DF3">
        <w:rPr>
          <w:rFonts w:ascii="Times New Roman" w:eastAsia="Times New Roman" w:hAnsi="Times New Roman" w:cs="Times New Roman"/>
          <w:sz w:val="28"/>
          <w:szCs w:val="28"/>
        </w:rPr>
        <w:t>стремления предпринимателей к максимизации разовой прибыли или сокращению сроков оборота капитала и игнорирования ими необходимости охраны окружающей среды;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- отсутствия стимулов у предприятий к использованию высококачественного сырья, топлива, экономии электроэнергии при производстве продукции разрушения хозяйственных связей, нарушения Проектных технологических режимов, роста аварийности производства;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- сокращения бюджетных средств на экологические цели и уменьшения финансовых возможностей предприятий в реализации природоохранных мероприятий. Скудное "из остатков" </w:t>
      </w:r>
      <w:proofErr w:type="gramStart"/>
      <w:r w:rsidRPr="006D2DF3">
        <w:rPr>
          <w:rFonts w:ascii="Times New Roman" w:eastAsia="Times New Roman" w:hAnsi="Times New Roman" w:cs="Times New Roman"/>
          <w:sz w:val="28"/>
          <w:szCs w:val="28"/>
        </w:rPr>
        <w:t>финансирование природоохранной деятельности, практиковавшееся в дореформенный период усугубляется</w:t>
      </w:r>
      <w:proofErr w:type="gramEnd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резким снижением инвестиционной активности во всем народном хозяйстве;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2DF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DF3">
        <w:rPr>
          <w:rFonts w:ascii="Times New Roman" w:eastAsia="Times New Roman" w:hAnsi="Times New Roman" w:cs="Times New Roman"/>
          <w:sz w:val="28"/>
          <w:szCs w:val="28"/>
        </w:rPr>
        <w:t>отсутствия действенного организационно-экономического механизма природопользования (особенно остро это ощущается на уровне регионов и проявляется: в слабой постановке учета и оценки природных ресурсов недостаточной координации работ по изучению и воспроизводству ресурсов и др., а главное - я отсутствии комплексного управления природопользованием.</w:t>
      </w:r>
      <w:proofErr w:type="gramEnd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D2DF3">
        <w:rPr>
          <w:rFonts w:ascii="Times New Roman" w:eastAsia="Times New Roman" w:hAnsi="Times New Roman" w:cs="Times New Roman"/>
          <w:sz w:val="28"/>
          <w:szCs w:val="28"/>
        </w:rPr>
        <w:t>Этому способствовали непрекращающаяся перестройка государственных структур управления, нерешенность вопросов разграничения собственности на природные ресурсы между Федерацией и ее субъектами, что нередко приводило к неэффективному природопользованию и возникновению экологической напряженности);</w:t>
      </w:r>
      <w:proofErr w:type="gramEnd"/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- отсутствие адекватной правовой защиты природы.</w:t>
      </w:r>
    </w:p>
    <w:p w:rsidR="00C46D1A" w:rsidRPr="00C46D1A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Россия имеет огромный земельный фонд. Только площадь сельскохозяйственных земель (пашни, сады, виноградники, пастбища) превышает 600 млн. га. Это огромное национальное богатство, но оно </w:t>
      </w:r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разрушается. Более половины из этих угодий в настоящее время поражено сильной водной и ветровой эрозией, засолением, перенасыщено азотными соединениями, тяжелыми металлами, болезнетворной микрофлорой. Из-за использования тяжелой техники отсталой технологии орошения и осушения структура почв разрушается, они теряют плодородие. В результате урожайность сельскохозяйственных культур низка. Если в странах Западной Европы с каждого гектара собирают по 50-60 </w:t>
      </w:r>
      <w:proofErr w:type="spellStart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>ц</w:t>
      </w:r>
      <w:proofErr w:type="spellEnd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пшеницы, то у </w:t>
      </w:r>
      <w:proofErr w:type="gramStart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>нас</w:t>
      </w:r>
      <w:proofErr w:type="gramEnd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лишь 16-17 </w:t>
      </w:r>
      <w:proofErr w:type="spellStart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>ц</w:t>
      </w:r>
      <w:proofErr w:type="spellEnd"/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>. Располагая огромными земельными ресурсами, Россия вынуждена большое количество продовольствия закупать в других странах.</w:t>
      </w:r>
    </w:p>
    <w:p w:rsidR="00C46D1A" w:rsidRPr="00C46D1A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Из-за расточительного пользования водой в сельском хозяйстве в ряде регионов страны в ней испытывается острый дефицит.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D1A">
        <w:rPr>
          <w:rFonts w:ascii="Times New Roman" w:eastAsia="Times New Roman" w:hAnsi="Times New Roman" w:cs="Times New Roman"/>
          <w:sz w:val="28"/>
          <w:szCs w:val="28"/>
          <w:u w:val="single"/>
        </w:rPr>
        <w:t>Переход к устойчивому развитию должен обеспечить на перспективу сбалансированное решение проблем социально экономического развития и сохранения благоприятной окружающей среды и природно-ресурсного потенциала, удовлетворение потребностей настоящего и будущих поколений людей.</w:t>
      </w: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При этом подразумевается последовательное решение ряда принципиальных задач: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- в процессе выхода страны из нынешнего кризиса обеспечить стабилизацию экологической ситуации;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- добиться коренного улучшения состояния окружающей среды за счет </w:t>
      </w:r>
      <w:proofErr w:type="spellStart"/>
      <w:r w:rsidRPr="006D2DF3">
        <w:rPr>
          <w:rFonts w:ascii="Times New Roman" w:eastAsia="Times New Roman" w:hAnsi="Times New Roman" w:cs="Times New Roman"/>
          <w:sz w:val="28"/>
          <w:szCs w:val="28"/>
        </w:rPr>
        <w:t>экологизации</w:t>
      </w:r>
      <w:proofErr w:type="spellEnd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экономической деятельности в рамках институциональных и структурных преобразований, позволяющих обеспечить становление новой модели хозяйствования и широкое распространение экологически ориентированных методов управления;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- ввести хозяйственную деятельность в пределы емкости экосистем на основе массового внедрения энергии ресурсосберегающих технологий, целенаправленных изменений структуры экономики, структуры личного и общественного потребления.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Основными направлениями перехода России к устойчивому развитию являются: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создание правовой основы перехода к устойчивому развитию, включая совершенствование действующего законодательства, определяющего, в частности, </w:t>
      </w:r>
      <w:proofErr w:type="gramStart"/>
      <w:r w:rsidRPr="006D2DF3">
        <w:rPr>
          <w:rFonts w:ascii="Times New Roman" w:eastAsia="Times New Roman" w:hAnsi="Times New Roman" w:cs="Times New Roman"/>
          <w:sz w:val="28"/>
          <w:szCs w:val="28"/>
        </w:rPr>
        <w:t>экономические механизмы</w:t>
      </w:r>
      <w:proofErr w:type="gramEnd"/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регулирования природопользования и охраны окружающей среды;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разработка системы стимулирования хозяйственной деятельности и установление пределов ответственности за ее экологические результаты, при которых биосфера воспринимается уже не только как поставщик ресурсов, а как фундамент жизни, сохранение которого должно быть непременным условием функционирования социально экономической системы и ее отдельных элементов;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- оценка хозяйственной емкости локальных и региональных экосистем страны, определение допустимого на них антропогенного воздействия;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- формирование эффективной системы пропаганды идей устойчивого развития и создание соответствующей системы воспитания и обучения.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Переход к устойчивому развитию потребует скоординированных действий во всех сферах жизни общества, адекватной переориентации социальных, экономических и экологических институтов государства, регулирующая роль которого в таких преобразованиях является основополагающей.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>Важнейшее значение в создании методологической и технологической основы этих преобразований будет принадлежать науке.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>В соответствии с принципами устойчивого развития, выработанными на Конференц</w:t>
      </w:r>
      <w:proofErr w:type="gramStart"/>
      <w:r w:rsidRPr="006D2DF3">
        <w:rPr>
          <w:rFonts w:ascii="Times New Roman" w:eastAsia="Times New Roman" w:hAnsi="Times New Roman" w:cs="Times New Roman"/>
          <w:sz w:val="28"/>
          <w:szCs w:val="28"/>
        </w:rPr>
        <w:t>ии ОО</w:t>
      </w:r>
      <w:proofErr w:type="gramEnd"/>
      <w:r w:rsidRPr="006D2DF3">
        <w:rPr>
          <w:rFonts w:ascii="Times New Roman" w:eastAsia="Times New Roman" w:hAnsi="Times New Roman" w:cs="Times New Roman"/>
          <w:sz w:val="28"/>
          <w:szCs w:val="28"/>
        </w:rPr>
        <w:t>Н по окружающей среде и развитию и последующих международных форумах, должна предусматриваться реализация комплекса мер, направленных на сохранение жизни и здоровья человека, решение демографических проблем, борьбу с преступностью, искоренение бедности, изменение структуры потребления и уменьшение дифференциации в доходах населения.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Одним из основных условий перехода к устойчивому развитию является обеспечение прав и свобод граждан. Движение к этой цели </w:t>
      </w:r>
      <w:r w:rsidRPr="006D2DF3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предполагает формирование открытого общества, включающего в качестве системных элементов правовое государство, рыночное хозяйство и гражданское общество.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Важным фактором обеспечения устойчивого развития является усиление роли основных социальных групп населения в осуществлении социально-экономических преобразований. Особое место здесь принадлежит молодежи, которой должно быть гарантировано безопасное будущее и возможность участия в принятии решений.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В создании условий, обеспечивающих заинтересованность граждан, юридических лиц и социальных групп в решении задач устойчивого развития, ведущая роль отводится государству. Прежде всего, оно должно гарантировать безопасность в политической, экономической, социальной, экологической, оборонной и других сферах, без чего переход к устойчивому развитию невозможен.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управление процессом перехода к устойчивому развитию предполагает разработку системы программных и прогнозных документов: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стратегии действий долгосрочного характера;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>- долгосрочных и среднесрочных прогнозов, включающих в качестве составного компонента прогнозы изменений окружающей среды и отдельных экосистем в результате хозяйственной деятельности;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 - краткосрочные прогнозы и программы отраслевого, регионального (территориального) и федерального уровней. При этом одним из важных условий является создание отлаженной системы взаимодействия "центр - регионы". </w:t>
      </w:r>
    </w:p>
    <w:p w:rsidR="00C46D1A" w:rsidRPr="006D2DF3" w:rsidRDefault="00C46D1A" w:rsidP="00C46D1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F3">
        <w:rPr>
          <w:rFonts w:ascii="Times New Roman" w:eastAsia="Times New Roman" w:hAnsi="Times New Roman" w:cs="Times New Roman"/>
          <w:sz w:val="28"/>
          <w:szCs w:val="28"/>
        </w:rPr>
        <w:t xml:space="preserve">Переход к устойчивому развитию предполагает строгое соблюдение ряда ограничений, следовать которым будет нелегко, особенно на начальных этапах. Это, в частности, осуществление хозяйственных мероприятий, преимущественно на уже освоенных территориях и отказ от реализации </w:t>
      </w:r>
      <w:r w:rsidRPr="006D2D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любых проектов, которые наносят невосполнимый ущерб окружающей среде или экологические последствия которых недостаточно изучены. </w:t>
      </w:r>
    </w:p>
    <w:p w:rsidR="005E243F" w:rsidRPr="006D2DF3" w:rsidRDefault="005E243F" w:rsidP="005E243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E243F" w:rsidRPr="006D2DF3" w:rsidSect="004A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2211"/>
    <w:multiLevelType w:val="hybridMultilevel"/>
    <w:tmpl w:val="463CF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130363"/>
    <w:multiLevelType w:val="hybridMultilevel"/>
    <w:tmpl w:val="393AE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71EF6"/>
    <w:multiLevelType w:val="hybridMultilevel"/>
    <w:tmpl w:val="E51AC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E2531"/>
    <w:multiLevelType w:val="hybridMultilevel"/>
    <w:tmpl w:val="C3F8887C"/>
    <w:lvl w:ilvl="0" w:tplc="D2F0E7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D2F9B"/>
    <w:multiLevelType w:val="hybridMultilevel"/>
    <w:tmpl w:val="F1AA9C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E74B94"/>
    <w:multiLevelType w:val="hybridMultilevel"/>
    <w:tmpl w:val="4ABEA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C04EC"/>
    <w:multiLevelType w:val="hybridMultilevel"/>
    <w:tmpl w:val="253278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A47FE6"/>
    <w:multiLevelType w:val="hybridMultilevel"/>
    <w:tmpl w:val="BAB06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D5D24"/>
    <w:multiLevelType w:val="hybridMultilevel"/>
    <w:tmpl w:val="F51CCF2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9">
    <w:nsid w:val="309A51BC"/>
    <w:multiLevelType w:val="hybridMultilevel"/>
    <w:tmpl w:val="AEFE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33AEC"/>
    <w:multiLevelType w:val="hybridMultilevel"/>
    <w:tmpl w:val="7734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30BBA"/>
    <w:multiLevelType w:val="hybridMultilevel"/>
    <w:tmpl w:val="0562E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6AAC"/>
    <w:multiLevelType w:val="hybridMultilevel"/>
    <w:tmpl w:val="2ABCEA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DCA264E"/>
    <w:multiLevelType w:val="hybridMultilevel"/>
    <w:tmpl w:val="603C31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41326518"/>
    <w:multiLevelType w:val="hybridMultilevel"/>
    <w:tmpl w:val="4A142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242C4"/>
    <w:multiLevelType w:val="hybridMultilevel"/>
    <w:tmpl w:val="2452C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757A3"/>
    <w:multiLevelType w:val="hybridMultilevel"/>
    <w:tmpl w:val="AE568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A3AFD"/>
    <w:multiLevelType w:val="multilevel"/>
    <w:tmpl w:val="83DE7A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5137BE7"/>
    <w:multiLevelType w:val="hybridMultilevel"/>
    <w:tmpl w:val="4A10A43C"/>
    <w:lvl w:ilvl="0" w:tplc="A92EBDA0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170E36"/>
    <w:multiLevelType w:val="hybridMultilevel"/>
    <w:tmpl w:val="BD948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C4972"/>
    <w:multiLevelType w:val="hybridMultilevel"/>
    <w:tmpl w:val="C69AA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44742A"/>
    <w:multiLevelType w:val="hybridMultilevel"/>
    <w:tmpl w:val="76DAF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3F702F"/>
    <w:multiLevelType w:val="hybridMultilevel"/>
    <w:tmpl w:val="F9583CF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3">
    <w:nsid w:val="5B3F4ABA"/>
    <w:multiLevelType w:val="hybridMultilevel"/>
    <w:tmpl w:val="ECE23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61650"/>
    <w:multiLevelType w:val="multilevel"/>
    <w:tmpl w:val="83DE7A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1AE0F85"/>
    <w:multiLevelType w:val="hybridMultilevel"/>
    <w:tmpl w:val="0EDA47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31156E"/>
    <w:multiLevelType w:val="hybridMultilevel"/>
    <w:tmpl w:val="918AF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3862B75"/>
    <w:multiLevelType w:val="hybridMultilevel"/>
    <w:tmpl w:val="BB5C5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E02ED"/>
    <w:multiLevelType w:val="hybridMultilevel"/>
    <w:tmpl w:val="DD406B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8"/>
  </w:num>
  <w:num w:numId="3">
    <w:abstractNumId w:val="25"/>
  </w:num>
  <w:num w:numId="4">
    <w:abstractNumId w:val="7"/>
  </w:num>
  <w:num w:numId="5">
    <w:abstractNumId w:val="14"/>
  </w:num>
  <w:num w:numId="6">
    <w:abstractNumId w:val="10"/>
  </w:num>
  <w:num w:numId="7">
    <w:abstractNumId w:val="20"/>
  </w:num>
  <w:num w:numId="8">
    <w:abstractNumId w:val="11"/>
  </w:num>
  <w:num w:numId="9">
    <w:abstractNumId w:val="19"/>
  </w:num>
  <w:num w:numId="10">
    <w:abstractNumId w:val="4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7"/>
  </w:num>
  <w:num w:numId="15">
    <w:abstractNumId w:val="15"/>
  </w:num>
  <w:num w:numId="16">
    <w:abstractNumId w:val="13"/>
  </w:num>
  <w:num w:numId="17">
    <w:abstractNumId w:val="26"/>
  </w:num>
  <w:num w:numId="18">
    <w:abstractNumId w:val="3"/>
  </w:num>
  <w:num w:numId="19">
    <w:abstractNumId w:val="16"/>
  </w:num>
  <w:num w:numId="20">
    <w:abstractNumId w:val="22"/>
  </w:num>
  <w:num w:numId="21">
    <w:abstractNumId w:val="8"/>
  </w:num>
  <w:num w:numId="22">
    <w:abstractNumId w:val="17"/>
  </w:num>
  <w:num w:numId="23">
    <w:abstractNumId w:val="24"/>
  </w:num>
  <w:num w:numId="24">
    <w:abstractNumId w:val="1"/>
  </w:num>
  <w:num w:numId="25">
    <w:abstractNumId w:val="9"/>
  </w:num>
  <w:num w:numId="26">
    <w:abstractNumId w:val="23"/>
  </w:num>
  <w:num w:numId="27">
    <w:abstractNumId w:val="5"/>
  </w:num>
  <w:num w:numId="28">
    <w:abstractNumId w:val="12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370B4"/>
    <w:rsid w:val="00012DC7"/>
    <w:rsid w:val="000215A4"/>
    <w:rsid w:val="00060691"/>
    <w:rsid w:val="000C622C"/>
    <w:rsid w:val="002370B4"/>
    <w:rsid w:val="00286A85"/>
    <w:rsid w:val="00386139"/>
    <w:rsid w:val="004A511A"/>
    <w:rsid w:val="004B187A"/>
    <w:rsid w:val="005458D6"/>
    <w:rsid w:val="005A0174"/>
    <w:rsid w:val="005E243F"/>
    <w:rsid w:val="005F297F"/>
    <w:rsid w:val="0060224E"/>
    <w:rsid w:val="006925C4"/>
    <w:rsid w:val="00726ACC"/>
    <w:rsid w:val="00760600"/>
    <w:rsid w:val="007B62CD"/>
    <w:rsid w:val="007D597C"/>
    <w:rsid w:val="00867C14"/>
    <w:rsid w:val="00904BEF"/>
    <w:rsid w:val="009E31AD"/>
    <w:rsid w:val="00AE7013"/>
    <w:rsid w:val="00B24E2E"/>
    <w:rsid w:val="00B63990"/>
    <w:rsid w:val="00C46D1A"/>
    <w:rsid w:val="00C97EC0"/>
    <w:rsid w:val="00CD1156"/>
    <w:rsid w:val="00E91C0D"/>
    <w:rsid w:val="00F736AD"/>
    <w:rsid w:val="00FB4400"/>
    <w:rsid w:val="00FE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1A"/>
  </w:style>
  <w:style w:type="paragraph" w:styleId="1">
    <w:name w:val="heading 1"/>
    <w:basedOn w:val="a"/>
    <w:next w:val="a"/>
    <w:link w:val="10"/>
    <w:uiPriority w:val="9"/>
    <w:qFormat/>
    <w:rsid w:val="00F73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73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01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F29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3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73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5">
    <w:name w:val="Table Grid"/>
    <w:basedOn w:val="a1"/>
    <w:uiPriority w:val="59"/>
    <w:rsid w:val="00F736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Тумурова</dc:creator>
  <cp:keywords/>
  <dc:description/>
  <cp:lastModifiedBy>Тумурова</cp:lastModifiedBy>
  <cp:revision>16</cp:revision>
  <dcterms:created xsi:type="dcterms:W3CDTF">2020-04-10T06:05:00Z</dcterms:created>
  <dcterms:modified xsi:type="dcterms:W3CDTF">2020-10-23T01:20:00Z</dcterms:modified>
</cp:coreProperties>
</file>