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Анализ уставного капитала является одним из важнейших этапов анализа ресурсов банка. Первоначально необходимо определить величины уставного капитал и оценить его динамику в течение анализируемого периода. Для этого необходимо рассчитать ряд показателей:</w:t>
      </w:r>
    </w:p>
    <w:p w:rsidR="00CE3006" w:rsidRDefault="00CE3006" w:rsidP="00CE3006">
      <w:pPr>
        <w:pStyle w:val="a3"/>
        <w:numPr>
          <w:ilvl w:val="0"/>
          <w:numId w:val="1"/>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Темп роста уставного капитала (ТР</w:t>
      </w:r>
      <w:r>
        <w:rPr>
          <w:rFonts w:ascii="Times New Roman" w:hAnsi="Times New Roman" w:cs="Times New Roman"/>
          <w:sz w:val="28"/>
          <w:szCs w:val="28"/>
          <w:vertAlign w:val="subscript"/>
          <w:lang w:val="ru-RU"/>
        </w:rPr>
        <w:t>ук</w:t>
      </w:r>
      <w:r>
        <w:rPr>
          <w:rFonts w:ascii="Times New Roman" w:hAnsi="Times New Roman" w:cs="Times New Roman"/>
          <w:sz w:val="28"/>
          <w:szCs w:val="28"/>
          <w:lang w:val="ru-RU"/>
        </w:rPr>
        <w:t>);</w:t>
      </w:r>
    </w:p>
    <w:p w:rsidR="00CE3006" w:rsidRDefault="00CE3006" w:rsidP="00CE3006">
      <w:pPr>
        <w:pStyle w:val="a3"/>
        <w:numPr>
          <w:ilvl w:val="0"/>
          <w:numId w:val="1"/>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 опережения темпов изменения уставного капитала (КО</w:t>
      </w:r>
      <w:r>
        <w:rPr>
          <w:rFonts w:ascii="Times New Roman" w:hAnsi="Times New Roman" w:cs="Times New Roman"/>
          <w:sz w:val="28"/>
          <w:szCs w:val="28"/>
          <w:vertAlign w:val="subscript"/>
          <w:lang w:val="ru-RU"/>
        </w:rPr>
        <w:t>ук</w:t>
      </w:r>
      <w:r>
        <w:rPr>
          <w:rFonts w:ascii="Times New Roman" w:hAnsi="Times New Roman" w:cs="Times New Roman"/>
          <w:sz w:val="28"/>
          <w:szCs w:val="28"/>
          <w:lang w:val="ru-RU"/>
        </w:rPr>
        <w:t>);</w:t>
      </w:r>
    </w:p>
    <w:p w:rsidR="00CE3006" w:rsidRDefault="00CE3006" w:rsidP="00CE3006">
      <w:pPr>
        <w:pStyle w:val="a3"/>
        <w:numPr>
          <w:ilvl w:val="0"/>
          <w:numId w:val="1"/>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 соотношения уставного капитала и собственных средств банка за период (КС</w:t>
      </w:r>
      <w:r>
        <w:rPr>
          <w:rFonts w:ascii="Times New Roman" w:hAnsi="Times New Roman" w:cs="Times New Roman"/>
          <w:sz w:val="28"/>
          <w:szCs w:val="28"/>
          <w:vertAlign w:val="subscript"/>
          <w:lang w:val="ru-RU"/>
        </w:rPr>
        <w:t>ук сс</w:t>
      </w:r>
      <w:r>
        <w:rPr>
          <w:rFonts w:ascii="Times New Roman" w:hAnsi="Times New Roman" w:cs="Times New Roman"/>
          <w:sz w:val="28"/>
          <w:szCs w:val="28"/>
          <w:lang w:val="ru-RU"/>
        </w:rPr>
        <w:t>);</w:t>
      </w:r>
    </w:p>
    <w:p w:rsidR="00CE3006" w:rsidRDefault="00CE3006" w:rsidP="00CE3006">
      <w:pPr>
        <w:pStyle w:val="a3"/>
        <w:numPr>
          <w:ilvl w:val="0"/>
          <w:numId w:val="1"/>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 фондовой капитализации прибыли (К</w:t>
      </w:r>
      <w:r>
        <w:rPr>
          <w:rFonts w:ascii="Times New Roman" w:hAnsi="Times New Roman" w:cs="Times New Roman"/>
          <w:sz w:val="28"/>
          <w:szCs w:val="28"/>
          <w:vertAlign w:val="subscript"/>
          <w:lang w:val="ru-RU"/>
        </w:rPr>
        <w:t>фкп</w:t>
      </w:r>
      <w:r>
        <w:rPr>
          <w:rFonts w:ascii="Times New Roman" w:hAnsi="Times New Roman" w:cs="Times New Roman"/>
          <w:sz w:val="28"/>
          <w:szCs w:val="28"/>
          <w:lang w:val="ru-RU"/>
        </w:rPr>
        <w:t>);</w:t>
      </w:r>
    </w:p>
    <w:p w:rsidR="00CE3006" w:rsidRDefault="00CE3006" w:rsidP="00CE3006">
      <w:pPr>
        <w:pStyle w:val="a3"/>
        <w:numPr>
          <w:ilvl w:val="0"/>
          <w:numId w:val="1"/>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 соотношения уставного капитала и пассивов банка (КС</w:t>
      </w:r>
      <w:r>
        <w:rPr>
          <w:rFonts w:ascii="Times New Roman" w:hAnsi="Times New Roman" w:cs="Times New Roman"/>
          <w:sz w:val="28"/>
          <w:szCs w:val="28"/>
          <w:vertAlign w:val="subscript"/>
          <w:lang w:val="ru-RU"/>
        </w:rPr>
        <w:t>ук п</w:t>
      </w:r>
      <w:r>
        <w:rPr>
          <w:rFonts w:ascii="Times New Roman" w:hAnsi="Times New Roman" w:cs="Times New Roman"/>
          <w:sz w:val="28"/>
          <w:szCs w:val="28"/>
          <w:lang w:val="ru-RU"/>
        </w:rPr>
        <w:t>);</w:t>
      </w:r>
    </w:p>
    <w:p w:rsidR="00CE3006" w:rsidRDefault="00CE3006" w:rsidP="00CE3006">
      <w:pPr>
        <w:pStyle w:val="a3"/>
        <w:numPr>
          <w:ilvl w:val="0"/>
          <w:numId w:val="1"/>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 соотношения уставного капитала и активов банка</w:t>
      </w:r>
    </w:p>
    <w:p w:rsidR="00CE3006" w:rsidRPr="00744097" w:rsidRDefault="00CE3006" w:rsidP="00CE3006">
      <w:pPr>
        <w:spacing w:after="0" w:line="360" w:lineRule="auto"/>
        <w:jc w:val="both"/>
        <w:rPr>
          <w:rFonts w:ascii="Times New Roman" w:hAnsi="Times New Roman" w:cs="Times New Roman"/>
          <w:sz w:val="28"/>
          <w:szCs w:val="28"/>
          <w:lang w:val="ru-RU"/>
        </w:rPr>
      </w:pPr>
      <w:r w:rsidRPr="00744097">
        <w:rPr>
          <w:rFonts w:ascii="Times New Roman" w:hAnsi="Times New Roman" w:cs="Times New Roman"/>
          <w:sz w:val="28"/>
          <w:szCs w:val="28"/>
          <w:lang w:val="ru-RU"/>
        </w:rPr>
        <w:t xml:space="preserve"> (КС</w:t>
      </w:r>
      <w:r w:rsidRPr="00744097">
        <w:rPr>
          <w:rFonts w:ascii="Times New Roman" w:hAnsi="Times New Roman" w:cs="Times New Roman"/>
          <w:sz w:val="28"/>
          <w:szCs w:val="28"/>
          <w:vertAlign w:val="subscript"/>
          <w:lang w:val="ru-RU"/>
        </w:rPr>
        <w:t>ук а</w:t>
      </w:r>
      <w:r w:rsidRPr="00744097">
        <w:rPr>
          <w:rFonts w:ascii="Times New Roman" w:hAnsi="Times New Roman" w:cs="Times New Roman"/>
          <w:sz w:val="28"/>
          <w:szCs w:val="28"/>
          <w:lang w:val="ru-RU"/>
        </w:rPr>
        <w:t>);</w:t>
      </w:r>
    </w:p>
    <w:p w:rsidR="00CE3006" w:rsidRDefault="00CE3006" w:rsidP="00CE3006">
      <w:pPr>
        <w:pStyle w:val="a3"/>
        <w:numPr>
          <w:ilvl w:val="0"/>
          <w:numId w:val="1"/>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 соотношения уставного капитала и привлечённых средств (КС</w:t>
      </w:r>
      <w:r>
        <w:rPr>
          <w:rFonts w:ascii="Times New Roman" w:hAnsi="Times New Roman" w:cs="Times New Roman"/>
          <w:sz w:val="28"/>
          <w:szCs w:val="28"/>
          <w:vertAlign w:val="subscript"/>
          <w:lang w:val="ru-RU"/>
        </w:rPr>
        <w:t>ук пс</w:t>
      </w:r>
      <w:r>
        <w:rPr>
          <w:rFonts w:ascii="Times New Roman" w:hAnsi="Times New Roman" w:cs="Times New Roman"/>
          <w:sz w:val="28"/>
          <w:szCs w:val="28"/>
          <w:lang w:val="ru-RU"/>
        </w:rPr>
        <w:t>);</w:t>
      </w:r>
    </w:p>
    <w:p w:rsidR="00CE3006" w:rsidRDefault="00CE3006" w:rsidP="00CE3006">
      <w:pPr>
        <w:pStyle w:val="a3"/>
        <w:numPr>
          <w:ilvl w:val="0"/>
          <w:numId w:val="1"/>
        </w:numPr>
        <w:spacing w:after="0" w:line="360" w:lineRule="auto"/>
        <w:ind w:left="0" w:firstLine="709"/>
        <w:jc w:val="both"/>
        <w:rPr>
          <w:rFonts w:ascii="Times New Roman" w:hAnsi="Times New Roman" w:cs="Times New Roman"/>
          <w:sz w:val="28"/>
          <w:szCs w:val="28"/>
          <w:lang w:val="ru-RU"/>
        </w:rPr>
      </w:pPr>
      <w:r w:rsidRPr="00744097">
        <w:rPr>
          <w:rFonts w:ascii="Times New Roman" w:hAnsi="Times New Roman" w:cs="Times New Roman"/>
          <w:sz w:val="28"/>
          <w:szCs w:val="28"/>
          <w:lang w:val="ru-RU"/>
        </w:rPr>
        <w:t>Коэффициент соотношения уставного капитала и кредитных вложений (КС</w:t>
      </w:r>
      <w:r w:rsidRPr="00744097">
        <w:rPr>
          <w:rFonts w:ascii="Times New Roman" w:hAnsi="Times New Roman" w:cs="Times New Roman"/>
          <w:sz w:val="28"/>
          <w:szCs w:val="28"/>
          <w:vertAlign w:val="subscript"/>
          <w:lang w:val="ru-RU"/>
        </w:rPr>
        <w:t>ук кв</w:t>
      </w:r>
      <w:r w:rsidRPr="00744097">
        <w:rPr>
          <w:rFonts w:ascii="Times New Roman" w:hAnsi="Times New Roman" w:cs="Times New Roman"/>
          <w:sz w:val="28"/>
          <w:szCs w:val="28"/>
          <w:lang w:val="ru-RU"/>
        </w:rPr>
        <w:t>);</w:t>
      </w:r>
    </w:p>
    <w:p w:rsidR="00CE3006" w:rsidRPr="00744097" w:rsidRDefault="00CE3006" w:rsidP="00CE3006">
      <w:pPr>
        <w:pStyle w:val="a3"/>
        <w:numPr>
          <w:ilvl w:val="0"/>
          <w:numId w:val="1"/>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Рентабельность уставного капитала (Р</w:t>
      </w:r>
      <w:r>
        <w:rPr>
          <w:rFonts w:ascii="Times New Roman" w:hAnsi="Times New Roman" w:cs="Times New Roman"/>
          <w:sz w:val="28"/>
          <w:szCs w:val="28"/>
          <w:vertAlign w:val="subscript"/>
          <w:lang w:val="ru-RU"/>
        </w:rPr>
        <w:t>ук</w:t>
      </w:r>
      <w:r>
        <w:rPr>
          <w:rFonts w:ascii="Times New Roman" w:hAnsi="Times New Roman" w:cs="Times New Roman"/>
          <w:sz w:val="28"/>
          <w:szCs w:val="28"/>
          <w:lang w:val="ru-RU"/>
        </w:rPr>
        <w:t>).</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Ниже представлены формулы для вычисления каждого из показателей:</w:t>
      </w:r>
    </w:p>
    <w:p w:rsidR="00CE3006" w:rsidRDefault="00CE3006" w:rsidP="00CE3006">
      <w:pPr>
        <w:pStyle w:val="a3"/>
        <w:spacing w:after="0" w:line="240" w:lineRule="auto"/>
        <w:ind w:left="0" w:firstLine="709"/>
        <w:jc w:val="both"/>
        <w:rPr>
          <w:rFonts w:ascii="Times New Roman" w:hAnsi="Times New Roman" w:cs="Times New Roman"/>
          <w:sz w:val="28"/>
          <w:szCs w:val="28"/>
          <w:lang w:val="ru-RU"/>
        </w:rPr>
      </w:pPr>
    </w:p>
    <w:tbl>
      <w:tblPr>
        <w:tblStyle w:val="a4"/>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0"/>
        <w:gridCol w:w="838"/>
      </w:tblGrid>
      <w:tr w:rsidR="00CE3006" w:rsidTr="00F922E7">
        <w:tc>
          <w:tcPr>
            <w:tcW w:w="8505" w:type="dxa"/>
          </w:tcPr>
          <w:p w:rsidR="00CE3006" w:rsidRPr="00B42D56" w:rsidRDefault="00CE3006" w:rsidP="00F922E7">
            <w:pPr>
              <w:spacing w:line="360" w:lineRule="auto"/>
              <w:jc w:val="both"/>
              <w:rPr>
                <w:rFonts w:ascii="Times New Roman" w:eastAsia="Calibri" w:hAnsi="Times New Roman"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ТР</m:t>
                    </m:r>
                  </m:e>
                  <m:sub>
                    <m:r>
                      <w:rPr>
                        <w:rFonts w:ascii="Cambria Math" w:hAnsi="Cambria Math" w:cs="Cambria Math"/>
                        <w:sz w:val="28"/>
                        <w:szCs w:val="28"/>
                        <w:lang w:val="ru-RU"/>
                      </w:rPr>
                      <m:t>ук</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Cambria Math"/>
                        <w:sz w:val="28"/>
                        <w:szCs w:val="28"/>
                        <w:lang w:val="ru-RU"/>
                      </w:rPr>
                      <m:t>УК на конец периода</m:t>
                    </m:r>
                  </m:num>
                  <m:den>
                    <m:r>
                      <m:rPr>
                        <m:sty m:val="p"/>
                      </m:rPr>
                      <w:rPr>
                        <w:rFonts w:ascii="Cambria Math" w:hAnsi="Cambria Math" w:cs="Cambria Math"/>
                        <w:sz w:val="28"/>
                        <w:szCs w:val="28"/>
                        <w:lang w:val="ru-RU"/>
                      </w:rPr>
                      <m:t>УК на начало периода</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(6)</w:t>
            </w:r>
          </w:p>
        </w:tc>
      </w:tr>
      <w:tr w:rsidR="00CE3006" w:rsidTr="00F922E7">
        <w:tc>
          <w:tcPr>
            <w:tcW w:w="8505" w:type="dxa"/>
          </w:tcPr>
          <w:p w:rsidR="00CE3006" w:rsidRDefault="00CE3006" w:rsidP="00F922E7">
            <w:pPr>
              <w:pStyle w:val="a3"/>
              <w:spacing w:line="360" w:lineRule="auto"/>
              <w:ind w:left="0" w:firstLine="709"/>
              <w:jc w:val="both"/>
              <w:rPr>
                <w:rFonts w:ascii="Times New Roman" w:eastAsia="Calibri" w:hAnsi="Times New Roman"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КО</m:t>
                    </m:r>
                  </m:e>
                  <m:sub>
                    <m:r>
                      <w:rPr>
                        <w:rFonts w:ascii="Cambria Math" w:hAnsi="Cambria Math" w:cs="Cambria Math"/>
                        <w:sz w:val="28"/>
                        <w:szCs w:val="28"/>
                        <w:lang w:val="ru-RU"/>
                      </w:rPr>
                      <m:t>ук</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sSub>
                      <m:sSubPr>
                        <m:ctrlPr>
                          <w:rPr>
                            <w:rFonts w:ascii="Cambria Math" w:hAnsi="Cambria Math" w:cs="Times New Roman"/>
                            <w:sz w:val="28"/>
                            <w:szCs w:val="28"/>
                            <w:lang w:val="ru-RU"/>
                          </w:rPr>
                        </m:ctrlPr>
                      </m:sSubPr>
                      <m:e>
                        <m:r>
                          <m:rPr>
                            <m:sty m:val="p"/>
                          </m:rPr>
                          <w:rPr>
                            <w:rFonts w:ascii="Cambria Math" w:hAnsi="Cambria Math" w:cs="Times New Roman"/>
                            <w:sz w:val="28"/>
                            <w:szCs w:val="28"/>
                            <w:lang w:val="ru-RU"/>
                          </w:rPr>
                          <m:t>ТР</m:t>
                        </m:r>
                      </m:e>
                      <m:sub>
                        <m:r>
                          <m:rPr>
                            <m:sty m:val="p"/>
                          </m:rPr>
                          <w:rPr>
                            <w:rFonts w:ascii="Cambria Math" w:hAnsi="Cambria Math" w:cs="Times New Roman"/>
                            <w:sz w:val="28"/>
                            <w:szCs w:val="28"/>
                            <w:lang w:val="ru-RU"/>
                          </w:rPr>
                          <m:t>ук</m:t>
                        </m:r>
                      </m:sub>
                    </m:sSub>
                  </m:num>
                  <m:den>
                    <m:sSub>
                      <m:sSubPr>
                        <m:ctrlPr>
                          <w:rPr>
                            <w:rFonts w:ascii="Cambria Math" w:hAnsi="Cambria Math" w:cs="Times New Roman"/>
                            <w:sz w:val="28"/>
                            <w:szCs w:val="28"/>
                            <w:lang w:val="ru-RU"/>
                          </w:rPr>
                        </m:ctrlPr>
                      </m:sSubPr>
                      <m:e>
                        <m:r>
                          <m:rPr>
                            <m:sty m:val="p"/>
                          </m:rPr>
                          <w:rPr>
                            <w:rFonts w:ascii="Cambria Math" w:hAnsi="Cambria Math" w:cs="Times New Roman"/>
                            <w:sz w:val="28"/>
                            <w:szCs w:val="28"/>
                            <w:lang w:val="ru-RU"/>
                          </w:rPr>
                          <m:t>ТР</m:t>
                        </m:r>
                      </m:e>
                      <m:sub>
                        <m:r>
                          <m:rPr>
                            <m:sty m:val="p"/>
                          </m:rPr>
                          <w:rPr>
                            <w:rFonts w:ascii="Cambria Math" w:hAnsi="Cambria Math" w:cs="Times New Roman"/>
                            <w:sz w:val="28"/>
                            <w:szCs w:val="28"/>
                            <w:lang w:val="ru-RU"/>
                          </w:rPr>
                          <m:t>сс</m:t>
                        </m:r>
                      </m:sub>
                    </m:sSub>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(7)</w:t>
            </w:r>
          </w:p>
        </w:tc>
      </w:tr>
      <w:tr w:rsidR="00CE3006" w:rsidTr="00F922E7">
        <w:tc>
          <w:tcPr>
            <w:tcW w:w="8505" w:type="dxa"/>
          </w:tcPr>
          <w:p w:rsidR="00CE3006" w:rsidRDefault="00CE3006" w:rsidP="00F922E7">
            <w:pPr>
              <w:pStyle w:val="a3"/>
              <w:spacing w:line="360" w:lineRule="auto"/>
              <w:ind w:left="0" w:firstLine="709"/>
              <w:jc w:val="right"/>
              <w:rPr>
                <w:rFonts w:ascii="Times New Roman" w:eastAsia="Calibri" w:hAnsi="Times New Roman"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КС</m:t>
                    </m:r>
                  </m:e>
                  <m:sub>
                    <m:r>
                      <w:rPr>
                        <w:rFonts w:ascii="Cambria Math" w:hAnsi="Cambria Math" w:cs="Cambria Math"/>
                        <w:sz w:val="28"/>
                        <w:szCs w:val="28"/>
                        <w:lang w:val="ru-RU"/>
                      </w:rPr>
                      <m:t>ук сс</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Cambria Math"/>
                        <w:sz w:val="28"/>
                        <w:szCs w:val="28"/>
                        <w:lang w:val="ru-RU"/>
                      </w:rPr>
                      <m:t>УК</m:t>
                    </m:r>
                  </m:num>
                  <m:den>
                    <m:r>
                      <m:rPr>
                        <m:sty m:val="p"/>
                      </m:rPr>
                      <w:rPr>
                        <w:rFonts w:ascii="Cambria Math" w:hAnsi="Cambria Math" w:cs="Times New Roman"/>
                        <w:sz w:val="28"/>
                        <w:szCs w:val="28"/>
                        <w:lang w:val="ru-RU"/>
                      </w:rPr>
                      <m:t>СС</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(8)</w:t>
            </w:r>
          </w:p>
        </w:tc>
      </w:tr>
      <w:tr w:rsidR="00CE3006" w:rsidTr="00F922E7">
        <w:tc>
          <w:tcPr>
            <w:tcW w:w="8505" w:type="dxa"/>
          </w:tcPr>
          <w:p w:rsidR="00CE3006" w:rsidRDefault="00CE3006" w:rsidP="00F922E7">
            <w:pPr>
              <w:pStyle w:val="a3"/>
              <w:spacing w:line="360" w:lineRule="auto"/>
              <w:ind w:left="0" w:firstLine="709"/>
              <w:jc w:val="right"/>
              <w:rPr>
                <w:rFonts w:ascii="Times New Roman" w:eastAsia="Calibri" w:hAnsi="Times New Roman"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К</m:t>
                    </m:r>
                  </m:e>
                  <m:sub>
                    <m:r>
                      <w:rPr>
                        <w:rFonts w:ascii="Cambria Math" w:hAnsi="Cambria Math" w:cs="Cambria Math"/>
                        <w:sz w:val="28"/>
                        <w:szCs w:val="28"/>
                        <w:lang w:val="ru-RU"/>
                      </w:rPr>
                      <m:t>фкп</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Times New Roman"/>
                        <w:sz w:val="28"/>
                        <w:szCs w:val="28"/>
                        <w:lang w:val="ru-RU"/>
                      </w:rPr>
                      <m:t>1</m:t>
                    </m:r>
                  </m:num>
                  <m:den>
                    <m:sSub>
                      <m:sSubPr>
                        <m:ctrlPr>
                          <w:rPr>
                            <w:rFonts w:ascii="Cambria Math" w:hAnsi="Cambria Math" w:cs="Cambria Math"/>
                            <w:i/>
                            <w:sz w:val="28"/>
                            <w:szCs w:val="28"/>
                            <w:lang w:val="ru-RU"/>
                          </w:rPr>
                        </m:ctrlPr>
                      </m:sSubPr>
                      <m:e>
                        <m:r>
                          <w:rPr>
                            <w:rFonts w:ascii="Cambria Math" w:hAnsi="Cambria Math" w:cs="Cambria Math"/>
                            <w:sz w:val="28"/>
                            <w:szCs w:val="28"/>
                            <w:lang w:val="ru-RU"/>
                          </w:rPr>
                          <m:t>КС</m:t>
                        </m:r>
                      </m:e>
                      <m:sub>
                        <m:r>
                          <w:rPr>
                            <w:rFonts w:ascii="Cambria Math" w:hAnsi="Cambria Math" w:cs="Cambria Math"/>
                            <w:sz w:val="28"/>
                            <w:szCs w:val="28"/>
                            <w:lang w:val="ru-RU"/>
                          </w:rPr>
                          <m:t>ук сс</m:t>
                        </m:r>
                      </m:sub>
                    </m:sSub>
                  </m:den>
                </m:f>
                <m:r>
                  <m:rPr>
                    <m:sty m:val="p"/>
                  </m:rPr>
                  <w:rPr>
                    <w:rFonts w:ascii="Cambria Math" w:hAnsi="Cambria Math" w:cs="Times New Roman"/>
                    <w:sz w:val="28"/>
                    <w:szCs w:val="28"/>
                    <w:lang w:val="ru-RU"/>
                  </w:rPr>
                  <m:t>=</m:t>
                </m:r>
                <m:f>
                  <m:fPr>
                    <m:ctrlPr>
                      <w:rPr>
                        <w:rFonts w:ascii="Cambria Math" w:hAnsi="Cambria Math" w:cs="Times New Roman"/>
                        <w:sz w:val="28"/>
                        <w:szCs w:val="28"/>
                        <w:lang w:val="ru-RU"/>
                      </w:rPr>
                    </m:ctrlPr>
                  </m:fPr>
                  <m:num>
                    <m:r>
                      <m:rPr>
                        <m:sty m:val="p"/>
                      </m:rPr>
                      <w:rPr>
                        <w:rFonts w:ascii="Cambria Math" w:hAnsi="Cambria Math" w:cs="Cambria Math"/>
                        <w:sz w:val="28"/>
                        <w:szCs w:val="28"/>
                        <w:lang w:val="ru-RU"/>
                      </w:rPr>
                      <m:t>СС</m:t>
                    </m:r>
                  </m:num>
                  <m:den>
                    <m:r>
                      <m:rPr>
                        <m:sty m:val="p"/>
                      </m:rPr>
                      <w:rPr>
                        <w:rFonts w:ascii="Cambria Math" w:hAnsi="Cambria Math" w:cs="Times New Roman"/>
                        <w:sz w:val="28"/>
                        <w:szCs w:val="28"/>
                        <w:lang w:val="ru-RU"/>
                      </w:rPr>
                      <m:t>УК</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(9)</w:t>
            </w:r>
          </w:p>
        </w:tc>
      </w:tr>
      <w:tr w:rsidR="00CE3006" w:rsidTr="00F922E7">
        <w:tc>
          <w:tcPr>
            <w:tcW w:w="8505" w:type="dxa"/>
          </w:tcPr>
          <w:p w:rsidR="00CE3006" w:rsidRDefault="00CE3006" w:rsidP="00F922E7">
            <w:pPr>
              <w:pStyle w:val="a3"/>
              <w:spacing w:line="360" w:lineRule="auto"/>
              <w:ind w:left="0" w:firstLine="709"/>
              <w:jc w:val="right"/>
              <w:rPr>
                <w:rFonts w:ascii="Times New Roman" w:eastAsia="Calibri" w:hAnsi="Times New Roman"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КС</m:t>
                    </m:r>
                  </m:e>
                  <m:sub>
                    <m:r>
                      <w:rPr>
                        <w:rFonts w:ascii="Cambria Math" w:hAnsi="Cambria Math" w:cs="Cambria Math"/>
                        <w:sz w:val="28"/>
                        <w:szCs w:val="28"/>
                        <w:lang w:val="ru-RU"/>
                      </w:rPr>
                      <m:t>ук п</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Cambria Math"/>
                        <w:sz w:val="28"/>
                        <w:szCs w:val="28"/>
                        <w:lang w:val="ru-RU"/>
                      </w:rPr>
                      <m:t>УК</m:t>
                    </m:r>
                  </m:num>
                  <m:den>
                    <m:r>
                      <m:rPr>
                        <m:sty m:val="p"/>
                      </m:rPr>
                      <w:rPr>
                        <w:rFonts w:ascii="Cambria Math" w:hAnsi="Cambria Math" w:cs="Cambria Math"/>
                        <w:sz w:val="28"/>
                        <w:szCs w:val="28"/>
                        <w:lang w:val="ru-RU"/>
                      </w:rPr>
                      <m:t>П</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(10)</w:t>
            </w:r>
          </w:p>
        </w:tc>
      </w:tr>
      <w:tr w:rsidR="00CE3006" w:rsidTr="00F922E7">
        <w:tc>
          <w:tcPr>
            <w:tcW w:w="8505" w:type="dxa"/>
          </w:tcPr>
          <w:p w:rsidR="00CE3006" w:rsidRPr="001F6524" w:rsidRDefault="00CE3006" w:rsidP="00F922E7">
            <w:pPr>
              <w:pStyle w:val="a3"/>
              <w:spacing w:line="360" w:lineRule="auto"/>
              <w:ind w:left="0" w:firstLine="709"/>
              <w:jc w:val="right"/>
              <w:rPr>
                <w:rFonts w:ascii="Calibri" w:eastAsia="Calibri" w:hAnsi="Calibri"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КС</m:t>
                    </m:r>
                  </m:e>
                  <m:sub>
                    <m:r>
                      <w:rPr>
                        <w:rFonts w:ascii="Cambria Math" w:hAnsi="Cambria Math" w:cs="Cambria Math"/>
                        <w:sz w:val="28"/>
                        <w:szCs w:val="28"/>
                        <w:lang w:val="ru-RU"/>
                      </w:rPr>
                      <m:t>ук а</m:t>
                    </m:r>
                  </m:sub>
                </m:sSub>
                <m:r>
                  <m:rPr>
                    <m:sty m:val="p"/>
                  </m:rPr>
                  <w:rPr>
                    <w:rFonts w:ascii="Cambria Math" w:hAnsi="Cambria Math" w:cs="Cambria Math"/>
                    <w:sz w:val="28"/>
                    <w:szCs w:val="28"/>
                    <w:lang w:val="ru-RU"/>
                  </w:rPr>
                  <m:t>=</m:t>
                </m:r>
                <m:sSub>
                  <m:sSubPr>
                    <m:ctrlPr>
                      <w:rPr>
                        <w:rFonts w:ascii="Cambria Math" w:hAnsi="Cambria Math" w:cs="Cambria Math"/>
                        <w:i/>
                        <w:sz w:val="28"/>
                        <w:szCs w:val="28"/>
                        <w:lang w:val="ru-RU"/>
                      </w:rPr>
                    </m:ctrlPr>
                  </m:sSubPr>
                  <m:e>
                    <m:r>
                      <w:rPr>
                        <w:rFonts w:ascii="Cambria Math" w:hAnsi="Cambria Math" w:cs="Cambria Math"/>
                        <w:sz w:val="28"/>
                        <w:szCs w:val="28"/>
                        <w:lang w:val="ru-RU"/>
                      </w:rPr>
                      <m:t>КС</m:t>
                    </m:r>
                  </m:e>
                  <m:sub>
                    <m:r>
                      <w:rPr>
                        <w:rFonts w:ascii="Cambria Math" w:hAnsi="Cambria Math" w:cs="Cambria Math"/>
                        <w:sz w:val="28"/>
                        <w:szCs w:val="28"/>
                        <w:lang w:val="ru-RU"/>
                      </w:rPr>
                      <m:t>ук п</m:t>
                    </m:r>
                  </m:sub>
                </m:sSub>
                <m: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Cambria Math"/>
                        <w:sz w:val="28"/>
                        <w:szCs w:val="28"/>
                        <w:lang w:val="ru-RU"/>
                      </w:rPr>
                      <m:t>УК</m:t>
                    </m:r>
                  </m:num>
                  <m:den>
                    <m:r>
                      <m:rPr>
                        <m:sty m:val="p"/>
                      </m:rPr>
                      <w:rPr>
                        <w:rFonts w:ascii="Cambria Math" w:hAnsi="Cambria Math" w:cs="Times New Roman"/>
                        <w:sz w:val="28"/>
                        <w:szCs w:val="28"/>
                        <w:lang w:val="ru-RU"/>
                      </w:rPr>
                      <m:t>А</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(11)</w:t>
            </w:r>
          </w:p>
        </w:tc>
      </w:tr>
      <w:tr w:rsidR="00CE3006" w:rsidTr="00F922E7">
        <w:tc>
          <w:tcPr>
            <w:tcW w:w="8505" w:type="dxa"/>
          </w:tcPr>
          <w:p w:rsidR="00CE3006" w:rsidRPr="001F6524" w:rsidRDefault="00CE3006" w:rsidP="00F922E7">
            <w:pPr>
              <w:pStyle w:val="a3"/>
              <w:spacing w:line="360" w:lineRule="auto"/>
              <w:ind w:left="0" w:firstLine="709"/>
              <w:jc w:val="right"/>
              <w:rPr>
                <w:rFonts w:ascii="Calibri" w:eastAsia="Calibri" w:hAnsi="Calibri" w:cs="Times New Roman"/>
                <w:sz w:val="28"/>
                <w:szCs w:val="28"/>
                <w:lang w:val="ru-RU"/>
              </w:rPr>
            </w:pPr>
            <m:oMathPara>
              <m:oMath>
                <m:sSub>
                  <m:sSubPr>
                    <m:ctrlPr>
                      <w:rPr>
                        <w:rFonts w:ascii="Cambria Math" w:hAnsi="Cambria Math" w:cs="Cambria Math"/>
                        <w:i/>
                        <w:sz w:val="28"/>
                        <w:szCs w:val="28"/>
                        <w:lang w:val="ru-RU"/>
                      </w:rPr>
                    </m:ctrlPr>
                  </m:sSubPr>
                  <m:e>
                    <m:r>
                      <w:rPr>
                        <w:rFonts w:ascii="Cambria Math" w:hAnsi="Cambria Math" w:cs="Cambria Math"/>
                        <w:sz w:val="28"/>
                        <w:szCs w:val="28"/>
                        <w:lang w:val="ru-RU"/>
                      </w:rPr>
                      <m:t>КС</m:t>
                    </m:r>
                  </m:e>
                  <m:sub>
                    <m:r>
                      <w:rPr>
                        <w:rFonts w:ascii="Cambria Math" w:hAnsi="Cambria Math" w:cs="Cambria Math"/>
                        <w:sz w:val="28"/>
                        <w:szCs w:val="28"/>
                        <w:lang w:val="ru-RU"/>
                      </w:rPr>
                      <m:t>ук пс</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Cambria Math"/>
                        <w:sz w:val="28"/>
                        <w:szCs w:val="28"/>
                        <w:lang w:val="ru-RU"/>
                      </w:rPr>
                      <m:t>УК</m:t>
                    </m:r>
                  </m:num>
                  <m:den>
                    <m:r>
                      <m:rPr>
                        <m:sty m:val="p"/>
                      </m:rPr>
                      <w:rPr>
                        <w:rFonts w:ascii="Cambria Math" w:hAnsi="Cambria Math" w:cs="Cambria Math"/>
                        <w:sz w:val="28"/>
                        <w:szCs w:val="28"/>
                        <w:lang w:val="ru-RU"/>
                      </w:rPr>
                      <m:t>ПС</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(12)</w:t>
            </w:r>
          </w:p>
        </w:tc>
      </w:tr>
      <w:tr w:rsidR="00CE3006" w:rsidTr="00F922E7">
        <w:tc>
          <w:tcPr>
            <w:tcW w:w="8505" w:type="dxa"/>
          </w:tcPr>
          <w:p w:rsidR="00CE3006" w:rsidRPr="001F6524" w:rsidRDefault="00CE3006" w:rsidP="00F922E7">
            <w:pPr>
              <w:pStyle w:val="a3"/>
              <w:spacing w:line="360" w:lineRule="auto"/>
              <w:ind w:left="0" w:firstLine="709"/>
              <w:jc w:val="right"/>
              <w:rPr>
                <w:rFonts w:ascii="Calibri" w:eastAsia="Calibri" w:hAnsi="Calibri" w:cs="Times New Roman"/>
                <w:sz w:val="28"/>
                <w:szCs w:val="28"/>
                <w:lang w:val="ru-RU"/>
              </w:rPr>
            </w:pPr>
            <m:oMathPara>
              <m:oMath>
                <m:sSub>
                  <m:sSubPr>
                    <m:ctrlPr>
                      <w:rPr>
                        <w:rFonts w:ascii="Cambria Math" w:hAnsi="Cambria Math" w:cs="Cambria Math"/>
                        <w:i/>
                        <w:sz w:val="28"/>
                        <w:szCs w:val="28"/>
                        <w:lang w:val="ru-RU"/>
                      </w:rPr>
                    </m:ctrlPr>
                  </m:sSubPr>
                  <m:e>
                    <m:r>
                      <w:rPr>
                        <w:rFonts w:ascii="Cambria Math" w:hAnsi="Cambria Math" w:cs="Cambria Math"/>
                        <w:sz w:val="28"/>
                        <w:szCs w:val="28"/>
                        <w:lang w:val="ru-RU"/>
                      </w:rPr>
                      <m:t>КС</m:t>
                    </m:r>
                  </m:e>
                  <m:sub>
                    <m:r>
                      <w:rPr>
                        <w:rFonts w:ascii="Cambria Math" w:hAnsi="Cambria Math" w:cs="Cambria Math"/>
                        <w:sz w:val="28"/>
                        <w:szCs w:val="28"/>
                        <w:lang w:val="ru-RU"/>
                      </w:rPr>
                      <m:t>ук кв</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Cambria Math"/>
                        <w:sz w:val="28"/>
                        <w:szCs w:val="28"/>
                        <w:lang w:val="ru-RU"/>
                      </w:rPr>
                      <m:t>УК</m:t>
                    </m:r>
                  </m:num>
                  <m:den>
                    <m:r>
                      <m:rPr>
                        <m:sty m:val="p"/>
                      </m:rPr>
                      <w:rPr>
                        <w:rFonts w:ascii="Cambria Math" w:hAnsi="Cambria Math" w:cs="Cambria Math"/>
                        <w:sz w:val="28"/>
                        <w:szCs w:val="28"/>
                        <w:lang w:val="ru-RU"/>
                      </w:rPr>
                      <m:t>КВ</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(13)</w:t>
            </w:r>
          </w:p>
        </w:tc>
      </w:tr>
      <w:tr w:rsidR="00CE3006" w:rsidTr="00F922E7">
        <w:tc>
          <w:tcPr>
            <w:tcW w:w="8505" w:type="dxa"/>
          </w:tcPr>
          <w:p w:rsidR="00CE3006" w:rsidRPr="001F6524" w:rsidRDefault="00CE3006" w:rsidP="00F922E7">
            <w:pPr>
              <w:pStyle w:val="a3"/>
              <w:spacing w:line="360" w:lineRule="auto"/>
              <w:ind w:left="0" w:firstLine="709"/>
              <w:jc w:val="center"/>
              <w:rPr>
                <w:rFonts w:ascii="Calibri" w:eastAsia="Calibri" w:hAnsi="Calibri" w:cs="Times New Roman"/>
                <w:sz w:val="28"/>
                <w:szCs w:val="28"/>
                <w:lang w:val="ru-RU"/>
              </w:rPr>
            </w:pPr>
            <m:oMathPara>
              <m:oMath>
                <m:sSub>
                  <m:sSubPr>
                    <m:ctrlPr>
                      <w:rPr>
                        <w:rFonts w:ascii="Cambria Math" w:hAnsi="Cambria Math" w:cs="Cambria Math"/>
                        <w:i/>
                        <w:sz w:val="28"/>
                        <w:szCs w:val="28"/>
                        <w:lang w:val="ru-RU"/>
                      </w:rPr>
                    </m:ctrlPr>
                  </m:sSubPr>
                  <m:e>
                    <m:r>
                      <w:rPr>
                        <w:rFonts w:ascii="Cambria Math" w:hAnsi="Cambria Math" w:cs="Cambria Math"/>
                        <w:sz w:val="28"/>
                        <w:szCs w:val="28"/>
                        <w:lang w:val="ru-RU"/>
                      </w:rPr>
                      <m:t>Р</m:t>
                    </m:r>
                  </m:e>
                  <m:sub>
                    <m:r>
                      <w:rPr>
                        <w:rFonts w:ascii="Cambria Math" w:hAnsi="Cambria Math" w:cs="Cambria Math"/>
                        <w:sz w:val="28"/>
                        <w:szCs w:val="28"/>
                        <w:lang w:val="ru-RU"/>
                      </w:rPr>
                      <m:t>ук</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Cambria Math"/>
                        <w:sz w:val="28"/>
                        <w:szCs w:val="28"/>
                        <w:lang w:val="ru-RU"/>
                      </w:rPr>
                      <m:t>ЧП</m:t>
                    </m:r>
                  </m:num>
                  <m:den>
                    <m:r>
                      <m:rPr>
                        <m:sty m:val="p"/>
                      </m:rPr>
                      <w:rPr>
                        <w:rFonts w:ascii="Cambria Math" w:hAnsi="Cambria Math" w:cs="Cambria Math"/>
                        <w:sz w:val="28"/>
                        <w:szCs w:val="28"/>
                        <w:lang w:val="ru-RU"/>
                      </w:rPr>
                      <m:t>УК</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(14)</w:t>
            </w:r>
          </w:p>
        </w:tc>
      </w:tr>
    </w:tbl>
    <w:p w:rsidR="00CE3006" w:rsidRDefault="00CE3006" w:rsidP="00CE3006">
      <w:pPr>
        <w:pStyle w:val="a3"/>
        <w:spacing w:after="0" w:line="240" w:lineRule="auto"/>
        <w:ind w:left="0" w:firstLine="709"/>
        <w:jc w:val="both"/>
        <w:rPr>
          <w:rFonts w:ascii="Times New Roman" w:hAnsi="Times New Roman" w:cs="Times New Roman"/>
          <w:sz w:val="28"/>
          <w:szCs w:val="28"/>
          <w:lang w:val="ru-RU"/>
        </w:rPr>
      </w:pP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где УК – уставный капитал банка; ТР</w:t>
      </w:r>
      <w:r>
        <w:rPr>
          <w:rFonts w:ascii="Times New Roman" w:hAnsi="Times New Roman" w:cs="Times New Roman"/>
          <w:sz w:val="28"/>
          <w:szCs w:val="28"/>
          <w:vertAlign w:val="subscript"/>
          <w:lang w:val="ru-RU"/>
        </w:rPr>
        <w:t>ук</w:t>
      </w:r>
      <w:r>
        <w:rPr>
          <w:rFonts w:ascii="Times New Roman" w:hAnsi="Times New Roman" w:cs="Times New Roman"/>
          <w:sz w:val="28"/>
          <w:szCs w:val="28"/>
          <w:lang w:val="ru-RU"/>
        </w:rPr>
        <w:t xml:space="preserve"> – темп роста уставного капитала банка; ТР</w:t>
      </w:r>
      <w:r>
        <w:rPr>
          <w:rFonts w:ascii="Times New Roman" w:hAnsi="Times New Roman" w:cs="Times New Roman"/>
          <w:sz w:val="28"/>
          <w:szCs w:val="28"/>
          <w:vertAlign w:val="subscript"/>
          <w:lang w:val="ru-RU"/>
        </w:rPr>
        <w:t>сс</w:t>
      </w:r>
      <w:r>
        <w:rPr>
          <w:rFonts w:ascii="Times New Roman" w:hAnsi="Times New Roman" w:cs="Times New Roman"/>
          <w:sz w:val="28"/>
          <w:szCs w:val="28"/>
          <w:lang w:val="ru-RU"/>
        </w:rPr>
        <w:t xml:space="preserve"> – темп роста собственных средств банка; СС – собственные средства банка; П/А – величина пассивов/активов банка; ПС – привлеченные средства; КВ – кредитные вложения банка</w:t>
      </w:r>
      <w:r>
        <w:rPr>
          <w:rStyle w:val="a7"/>
          <w:rFonts w:ascii="Times New Roman" w:hAnsi="Times New Roman" w:cs="Times New Roman"/>
          <w:sz w:val="28"/>
          <w:szCs w:val="28"/>
          <w:lang w:val="ru-RU"/>
        </w:rPr>
        <w:footnoteReference w:id="1"/>
      </w:r>
      <w:r>
        <w:rPr>
          <w:rFonts w:ascii="Times New Roman" w:hAnsi="Times New Roman" w:cs="Times New Roman"/>
          <w:sz w:val="28"/>
          <w:szCs w:val="28"/>
          <w:lang w:val="ru-RU"/>
        </w:rPr>
        <w:t>; ЧП – чистая прибыль.</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224E4E">
        <w:rPr>
          <w:rFonts w:ascii="Times New Roman" w:hAnsi="Times New Roman" w:cs="Times New Roman"/>
          <w:i/>
          <w:sz w:val="28"/>
          <w:szCs w:val="28"/>
          <w:lang w:val="ru-RU"/>
        </w:rPr>
        <w:t>Темп роста уставного капитала</w:t>
      </w:r>
      <w:r>
        <w:rPr>
          <w:rFonts w:ascii="Times New Roman" w:hAnsi="Times New Roman" w:cs="Times New Roman"/>
          <w:sz w:val="28"/>
          <w:szCs w:val="28"/>
          <w:lang w:val="ru-RU"/>
        </w:rPr>
        <w:t xml:space="preserve"> позволяет оценить динамику уставного капитала. На основе данного показателя можно сделать общий вывод об изменении масштабов деятельности банка. Значение этого показателя выше 100% свидетельствует о том, что в течение анализируемого периода происходило увеличение уставного капитала банка.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Оценить динамику темпа роста уставного капитала относительно роста собственных средств можно с помощью </w:t>
      </w:r>
      <w:r w:rsidRPr="00224E4E">
        <w:rPr>
          <w:rFonts w:ascii="Times New Roman" w:hAnsi="Times New Roman" w:cs="Times New Roman"/>
          <w:i/>
          <w:sz w:val="28"/>
          <w:szCs w:val="28"/>
          <w:lang w:val="ru-RU"/>
        </w:rPr>
        <w:t>коэффициента опережения темпов изменения уставного капитала</w:t>
      </w:r>
      <w:r>
        <w:rPr>
          <w:rFonts w:ascii="Times New Roman" w:hAnsi="Times New Roman" w:cs="Times New Roman"/>
          <w:sz w:val="28"/>
          <w:szCs w:val="28"/>
          <w:lang w:val="ru-RU"/>
        </w:rPr>
        <w:t>. Данный коэффициент отражает динамику уровня обеспечения уставным капиталом собственных средств банка.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224E4E">
        <w:rPr>
          <w:rFonts w:ascii="Times New Roman" w:hAnsi="Times New Roman" w:cs="Times New Roman"/>
          <w:i/>
          <w:sz w:val="28"/>
          <w:szCs w:val="28"/>
          <w:lang w:val="ru-RU"/>
        </w:rPr>
        <w:t>Коэффициент соотношения уставного капитала и собственных средств банка за период</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показывает степень формирования собственных средств за счёт акционерного капитала или за счет средств учредителей банка. Минимальное рекомендуемое значение показателя – 15%, максимальное – 50%.</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1758D4">
        <w:rPr>
          <w:rFonts w:ascii="Times New Roman" w:hAnsi="Times New Roman" w:cs="Times New Roman"/>
          <w:i/>
          <w:sz w:val="28"/>
          <w:szCs w:val="28"/>
          <w:lang w:val="ru-RU"/>
        </w:rPr>
        <w:t>Коэффициент фондовой капитализации</w:t>
      </w:r>
      <w:r>
        <w:rPr>
          <w:rFonts w:ascii="Times New Roman" w:hAnsi="Times New Roman" w:cs="Times New Roman"/>
          <w:i/>
          <w:sz w:val="28"/>
          <w:szCs w:val="28"/>
          <w:lang w:val="ru-RU"/>
        </w:rPr>
        <w:t xml:space="preserve"> прибыли</w:t>
      </w:r>
      <w:r>
        <w:rPr>
          <w:rFonts w:ascii="Times New Roman" w:hAnsi="Times New Roman" w:cs="Times New Roman"/>
          <w:sz w:val="28"/>
          <w:szCs w:val="28"/>
          <w:lang w:val="ru-RU"/>
        </w:rPr>
        <w:t xml:space="preserve"> определяет отношение собственных ресурсов банкам к деньгам, которые внесли учредители. Оптимальное значение данного показателя равно 200 – 400%, то есть сумма </w:t>
      </w:r>
      <w:r>
        <w:rPr>
          <w:rFonts w:ascii="Times New Roman" w:hAnsi="Times New Roman" w:cs="Times New Roman"/>
          <w:sz w:val="28"/>
          <w:szCs w:val="28"/>
          <w:lang w:val="ru-RU"/>
        </w:rPr>
        <w:lastRenderedPageBreak/>
        <w:t>средств, инвестированных в развитие банка, в 2 – 4 раза превышать взносы учредителей. Этот показатель характеризует эффективность работы банка и показывает независимость работы банка от отдельных учредителей.</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1758D4">
        <w:rPr>
          <w:rFonts w:ascii="Times New Roman" w:hAnsi="Times New Roman" w:cs="Times New Roman"/>
          <w:i/>
          <w:sz w:val="28"/>
          <w:szCs w:val="28"/>
          <w:lang w:val="ru-RU"/>
        </w:rPr>
        <w:t>Коэффициент соотношения уставного капитала и</w:t>
      </w:r>
      <w:r w:rsidRPr="001758D4">
        <w:rPr>
          <w:rFonts w:ascii="Times New Roman" w:hAnsi="Times New Roman" w:cs="Times New Roman"/>
          <w:sz w:val="28"/>
          <w:szCs w:val="28"/>
          <w:lang w:val="ru-RU"/>
        </w:rPr>
        <w:t xml:space="preserve"> </w:t>
      </w:r>
      <w:r>
        <w:rPr>
          <w:rFonts w:ascii="Times New Roman" w:hAnsi="Times New Roman" w:cs="Times New Roman"/>
          <w:i/>
          <w:sz w:val="28"/>
          <w:szCs w:val="28"/>
          <w:lang w:val="ru-RU"/>
        </w:rPr>
        <w:t xml:space="preserve">пассивов банка </w:t>
      </w:r>
      <w:r>
        <w:rPr>
          <w:rFonts w:ascii="Times New Roman" w:hAnsi="Times New Roman" w:cs="Times New Roman"/>
          <w:sz w:val="28"/>
          <w:szCs w:val="28"/>
          <w:lang w:val="ru-RU"/>
        </w:rPr>
        <w:t xml:space="preserve"> характеризует размер уставного капитала, приходящегося на рубль всех пассивов банка, и показывает уровень обеспечения всех источников средств, т.е. его ресурсов уставным капиталом.</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1758D4">
        <w:rPr>
          <w:rFonts w:ascii="Times New Roman" w:hAnsi="Times New Roman" w:cs="Times New Roman"/>
          <w:i/>
          <w:sz w:val="28"/>
          <w:szCs w:val="28"/>
          <w:lang w:val="ru-RU"/>
        </w:rPr>
        <w:t>Коэффициент соотношения уставного капитала и</w:t>
      </w:r>
      <w:r>
        <w:rPr>
          <w:rFonts w:ascii="Times New Roman" w:hAnsi="Times New Roman" w:cs="Times New Roman"/>
          <w:i/>
          <w:sz w:val="28"/>
          <w:szCs w:val="28"/>
          <w:lang w:val="ru-RU"/>
        </w:rPr>
        <w:t xml:space="preserve"> активов банка</w:t>
      </w:r>
      <w:r>
        <w:rPr>
          <w:rFonts w:ascii="Times New Roman" w:hAnsi="Times New Roman" w:cs="Times New Roman"/>
          <w:sz w:val="28"/>
          <w:szCs w:val="28"/>
          <w:lang w:val="ru-RU"/>
        </w:rPr>
        <w:t xml:space="preserve"> по величине равен предыдущему показателю, но несёт иную смысловую и аналитическую нагрузку. Данный показатель характеризует размер уставного капитала, приходящегося на рубль всех активов банка, и показывает уровень задействования уставного капитала в активных операциях банка.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1758D4">
        <w:rPr>
          <w:rFonts w:ascii="Times New Roman" w:hAnsi="Times New Roman" w:cs="Times New Roman"/>
          <w:i/>
          <w:sz w:val="28"/>
          <w:szCs w:val="28"/>
          <w:lang w:val="ru-RU"/>
        </w:rPr>
        <w:t>Коэффициент соотношения уставного капитала и</w:t>
      </w:r>
      <w:r>
        <w:rPr>
          <w:rFonts w:ascii="Times New Roman" w:hAnsi="Times New Roman" w:cs="Times New Roman"/>
          <w:i/>
          <w:sz w:val="28"/>
          <w:szCs w:val="28"/>
          <w:lang w:val="ru-RU"/>
        </w:rPr>
        <w:t xml:space="preserve"> привлечённых средств банка</w:t>
      </w:r>
      <w:r>
        <w:rPr>
          <w:rFonts w:ascii="Times New Roman" w:hAnsi="Times New Roman" w:cs="Times New Roman"/>
          <w:sz w:val="28"/>
          <w:szCs w:val="28"/>
          <w:lang w:val="ru-RU"/>
        </w:rPr>
        <w:t xml:space="preserve"> характеризует размер уставного капитала, приходящегося на рубль всех привлечённых средств банка, и показывает степень обеспечения (покрытия) привлечённых ресурсов, т.е. всех обязательств банка уставным капиталом.</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1758D4">
        <w:rPr>
          <w:rFonts w:ascii="Times New Roman" w:hAnsi="Times New Roman" w:cs="Times New Roman"/>
          <w:i/>
          <w:sz w:val="28"/>
          <w:szCs w:val="28"/>
          <w:lang w:val="ru-RU"/>
        </w:rPr>
        <w:t>Коэффициент соотношения уставного капитала и</w:t>
      </w:r>
      <w:r>
        <w:rPr>
          <w:rFonts w:ascii="Times New Roman" w:hAnsi="Times New Roman" w:cs="Times New Roman"/>
          <w:i/>
          <w:sz w:val="28"/>
          <w:szCs w:val="28"/>
          <w:lang w:val="ru-RU"/>
        </w:rPr>
        <w:t xml:space="preserve"> кредитных вложений</w:t>
      </w:r>
      <w:r>
        <w:rPr>
          <w:rFonts w:ascii="Times New Roman" w:hAnsi="Times New Roman" w:cs="Times New Roman"/>
          <w:sz w:val="28"/>
          <w:szCs w:val="28"/>
          <w:lang w:val="ru-RU"/>
        </w:rPr>
        <w:t xml:space="preserve"> отражает размер уставного капитала, приходящегося на рубль всех кредитных вложений банка, и показывает обеспеченность кредитных вложений банка уставным капиталом банка.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i/>
          <w:sz w:val="28"/>
          <w:szCs w:val="28"/>
          <w:lang w:val="ru-RU"/>
        </w:rPr>
        <w:t xml:space="preserve">Рентабельность уставного капитала </w:t>
      </w:r>
      <w:r>
        <w:rPr>
          <w:rFonts w:ascii="Times New Roman" w:hAnsi="Times New Roman" w:cs="Times New Roman"/>
          <w:sz w:val="28"/>
          <w:szCs w:val="28"/>
          <w:lang w:val="ru-RU"/>
        </w:rPr>
        <w:t>предназначен для оценки нормы прибыли для уставного капитала и отражает эффективность использования средств, внесённых собственниками банка. Этот показатель также называют показателем эффективности использования уставного капитала.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Указанные показатели для удобства анализа можно объединить в таблицу, см. таблицу 4.</w:t>
      </w:r>
    </w:p>
    <w:p w:rsidR="00CE3006" w:rsidRDefault="00CE3006" w:rsidP="00CE3006">
      <w:pPr>
        <w:pStyle w:val="a3"/>
        <w:spacing w:after="0" w:line="240" w:lineRule="auto"/>
        <w:ind w:left="0" w:firstLine="709"/>
        <w:jc w:val="both"/>
        <w:rPr>
          <w:rFonts w:ascii="Times New Roman" w:hAnsi="Times New Roman" w:cs="Times New Roman"/>
          <w:sz w:val="28"/>
          <w:szCs w:val="28"/>
          <w:lang w:val="ru-RU"/>
        </w:rPr>
      </w:pPr>
    </w:p>
    <w:p w:rsidR="00CE3006" w:rsidRDefault="00CE3006" w:rsidP="00CE3006">
      <w:pPr>
        <w:pStyle w:val="a3"/>
        <w:spacing w:after="0" w:line="240" w:lineRule="auto"/>
        <w:ind w:left="0" w:firstLine="709"/>
        <w:jc w:val="right"/>
        <w:rPr>
          <w:rFonts w:ascii="Times New Roman" w:hAnsi="Times New Roman" w:cs="Times New Roman"/>
          <w:sz w:val="28"/>
          <w:szCs w:val="28"/>
          <w:lang w:val="ru-RU"/>
        </w:rPr>
      </w:pPr>
      <w:r>
        <w:rPr>
          <w:rFonts w:ascii="Times New Roman" w:hAnsi="Times New Roman" w:cs="Times New Roman"/>
          <w:sz w:val="28"/>
          <w:szCs w:val="28"/>
          <w:lang w:val="ru-RU"/>
        </w:rPr>
        <w:t>Таблица 4 – Показатели отражающие формирование и использование уставного капитала, %</w:t>
      </w:r>
    </w:p>
    <w:tbl>
      <w:tblPr>
        <w:tblStyle w:val="a4"/>
        <w:tblW w:w="0" w:type="auto"/>
        <w:tblCellMar>
          <w:left w:w="28" w:type="dxa"/>
          <w:right w:w="28" w:type="dxa"/>
        </w:tblCellMar>
        <w:tblLook w:val="04A0" w:firstRow="1" w:lastRow="0" w:firstColumn="1" w:lastColumn="0" w:noHBand="0" w:noVBand="1"/>
      </w:tblPr>
      <w:tblGrid>
        <w:gridCol w:w="5524"/>
        <w:gridCol w:w="536"/>
        <w:gridCol w:w="536"/>
        <w:gridCol w:w="536"/>
        <w:gridCol w:w="1118"/>
        <w:gridCol w:w="1095"/>
      </w:tblGrid>
      <w:tr w:rsidR="00CE3006" w:rsidRPr="005226B1" w:rsidTr="00F922E7">
        <w:tc>
          <w:tcPr>
            <w:tcW w:w="0" w:type="auto"/>
            <w:vMerge w:val="restart"/>
            <w:vAlign w:val="center"/>
          </w:tcPr>
          <w:p w:rsidR="00CE3006" w:rsidRPr="005226B1" w:rsidRDefault="00CE3006" w:rsidP="00F922E7">
            <w:pPr>
              <w:pStyle w:val="a3"/>
              <w:spacing w:line="360"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Наименование показателя</w:t>
            </w:r>
          </w:p>
        </w:tc>
        <w:tc>
          <w:tcPr>
            <w:tcW w:w="0" w:type="auto"/>
            <w:gridSpan w:val="3"/>
          </w:tcPr>
          <w:p w:rsidR="00CE3006" w:rsidRPr="005226B1"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0" w:type="auto"/>
            <w:gridSpan w:val="2"/>
          </w:tcPr>
          <w:p w:rsidR="00CE3006" w:rsidRPr="005226B1"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Изменение, +/–</w:t>
            </w:r>
          </w:p>
        </w:tc>
      </w:tr>
      <w:tr w:rsidR="00CE3006" w:rsidRPr="005226B1" w:rsidTr="00F922E7">
        <w:tc>
          <w:tcPr>
            <w:tcW w:w="0" w:type="auto"/>
            <w:vMerge/>
          </w:tcPr>
          <w:p w:rsidR="00CE3006" w:rsidRPr="005226B1" w:rsidRDefault="00CE3006" w:rsidP="00F922E7">
            <w:pPr>
              <w:pStyle w:val="a3"/>
              <w:spacing w:line="360" w:lineRule="auto"/>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2014</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2015</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2016</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2015 г. к 2014 г.</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2016 г. к 2015 г.</w:t>
            </w:r>
          </w:p>
        </w:tc>
      </w:tr>
      <w:tr w:rsidR="00CE3006" w:rsidRPr="00341029" w:rsidTr="00F922E7">
        <w:tc>
          <w:tcPr>
            <w:tcW w:w="0" w:type="auto"/>
          </w:tcPr>
          <w:p w:rsidR="00CE3006" w:rsidRPr="005226B1"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1. Уставный капитал банка, тыс. руб.</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r>
      <w:tr w:rsidR="00CE3006" w:rsidRPr="00341029" w:rsidTr="00F922E7">
        <w:tc>
          <w:tcPr>
            <w:tcW w:w="0" w:type="auto"/>
          </w:tcPr>
          <w:p w:rsidR="00CE3006" w:rsidRPr="005226B1"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2. Темп роста уставного капитала (ТР</w:t>
            </w:r>
            <w:r>
              <w:rPr>
                <w:rFonts w:ascii="Times New Roman" w:hAnsi="Times New Roman" w:cs="Times New Roman"/>
                <w:sz w:val="24"/>
                <w:szCs w:val="24"/>
                <w:vertAlign w:val="subscript"/>
                <w:lang w:val="ru-RU"/>
              </w:rPr>
              <w:t>ук</w:t>
            </w:r>
            <w:r>
              <w:rPr>
                <w:rFonts w:ascii="Times New Roman" w:hAnsi="Times New Roman" w:cs="Times New Roman"/>
                <w:sz w:val="24"/>
                <w:szCs w:val="24"/>
                <w:lang w:val="ru-RU"/>
              </w:rPr>
              <w:t>)</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r>
      <w:tr w:rsidR="00CE3006" w:rsidRPr="00341029" w:rsidTr="00F922E7">
        <w:tc>
          <w:tcPr>
            <w:tcW w:w="0" w:type="auto"/>
          </w:tcPr>
          <w:p w:rsidR="00CE3006" w:rsidRPr="005226B1"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3. Коэффициент опережения темпов изменения уставного капитала (КО</w:t>
            </w:r>
            <w:r>
              <w:rPr>
                <w:rFonts w:ascii="Times New Roman" w:hAnsi="Times New Roman" w:cs="Times New Roman"/>
                <w:sz w:val="24"/>
                <w:szCs w:val="24"/>
                <w:vertAlign w:val="subscript"/>
                <w:lang w:val="ru-RU"/>
              </w:rPr>
              <w:t>ук</w:t>
            </w:r>
            <w:r>
              <w:rPr>
                <w:rFonts w:ascii="Times New Roman" w:hAnsi="Times New Roman" w:cs="Times New Roman"/>
                <w:sz w:val="24"/>
                <w:szCs w:val="24"/>
                <w:lang w:val="ru-RU"/>
              </w:rPr>
              <w:t>)</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r>
      <w:tr w:rsidR="00CE3006" w:rsidRPr="00341029" w:rsidTr="00F922E7">
        <w:tc>
          <w:tcPr>
            <w:tcW w:w="0" w:type="auto"/>
          </w:tcPr>
          <w:p w:rsidR="00CE3006" w:rsidRPr="005226B1"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4. Коэффициент соотношения уставного капитала и собственных средств банка за период (КС</w:t>
            </w:r>
            <w:r>
              <w:rPr>
                <w:rFonts w:ascii="Times New Roman" w:hAnsi="Times New Roman" w:cs="Times New Roman"/>
                <w:sz w:val="24"/>
                <w:szCs w:val="24"/>
                <w:vertAlign w:val="subscript"/>
                <w:lang w:val="ru-RU"/>
              </w:rPr>
              <w:t>ук сс</w:t>
            </w:r>
            <w:r>
              <w:rPr>
                <w:rFonts w:ascii="Times New Roman" w:hAnsi="Times New Roman" w:cs="Times New Roman"/>
                <w:sz w:val="24"/>
                <w:szCs w:val="24"/>
                <w:lang w:val="ru-RU"/>
              </w:rPr>
              <w:t>)</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r>
      <w:tr w:rsidR="00CE3006" w:rsidRPr="00341029" w:rsidTr="00F922E7">
        <w:tc>
          <w:tcPr>
            <w:tcW w:w="0" w:type="auto"/>
          </w:tcPr>
          <w:p w:rsidR="00CE3006"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5. Коэффициент фондовой капитализации прибыли (К</w:t>
            </w:r>
            <w:r>
              <w:rPr>
                <w:rFonts w:ascii="Times New Roman" w:hAnsi="Times New Roman" w:cs="Times New Roman"/>
                <w:sz w:val="24"/>
                <w:szCs w:val="24"/>
                <w:vertAlign w:val="subscript"/>
                <w:lang w:val="ru-RU"/>
              </w:rPr>
              <w:t>фкп</w:t>
            </w:r>
            <w:r>
              <w:rPr>
                <w:rFonts w:ascii="Times New Roman" w:hAnsi="Times New Roman" w:cs="Times New Roman"/>
                <w:sz w:val="24"/>
                <w:szCs w:val="24"/>
                <w:lang w:val="ru-RU"/>
              </w:rPr>
              <w:t>)</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r>
      <w:tr w:rsidR="00CE3006" w:rsidRPr="00341029" w:rsidTr="00F922E7">
        <w:tc>
          <w:tcPr>
            <w:tcW w:w="0" w:type="auto"/>
          </w:tcPr>
          <w:p w:rsidR="00CE3006" w:rsidRPr="002F3466"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6. Коэффициент соотношения уставного капитала и пассивов банка (КС</w:t>
            </w:r>
            <w:r>
              <w:rPr>
                <w:rFonts w:ascii="Times New Roman" w:hAnsi="Times New Roman" w:cs="Times New Roman"/>
                <w:sz w:val="24"/>
                <w:szCs w:val="24"/>
                <w:vertAlign w:val="subscript"/>
                <w:lang w:val="ru-RU"/>
              </w:rPr>
              <w:t>ук п</w:t>
            </w:r>
            <w:r>
              <w:rPr>
                <w:rFonts w:ascii="Times New Roman" w:hAnsi="Times New Roman" w:cs="Times New Roman"/>
                <w:sz w:val="24"/>
                <w:szCs w:val="24"/>
                <w:lang w:val="ru-RU"/>
              </w:rPr>
              <w:t>)</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r>
      <w:tr w:rsidR="00CE3006" w:rsidRPr="00341029" w:rsidTr="00F922E7">
        <w:tc>
          <w:tcPr>
            <w:tcW w:w="0" w:type="auto"/>
          </w:tcPr>
          <w:p w:rsidR="00CE3006"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7. Коэффициент соотношения уставного капитала и активов банка (КС</w:t>
            </w:r>
            <w:r>
              <w:rPr>
                <w:rFonts w:ascii="Times New Roman" w:hAnsi="Times New Roman" w:cs="Times New Roman"/>
                <w:sz w:val="24"/>
                <w:szCs w:val="24"/>
                <w:vertAlign w:val="subscript"/>
                <w:lang w:val="ru-RU"/>
              </w:rPr>
              <w:t>ук а</w:t>
            </w:r>
            <w:r>
              <w:rPr>
                <w:rFonts w:ascii="Times New Roman" w:hAnsi="Times New Roman" w:cs="Times New Roman"/>
                <w:sz w:val="24"/>
                <w:szCs w:val="24"/>
                <w:lang w:val="ru-RU"/>
              </w:rPr>
              <w:t>)</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r>
      <w:tr w:rsidR="00CE3006" w:rsidRPr="00341029" w:rsidTr="00F922E7">
        <w:tc>
          <w:tcPr>
            <w:tcW w:w="0" w:type="auto"/>
          </w:tcPr>
          <w:p w:rsidR="00CE3006" w:rsidRPr="002F3466"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8. Коэффициент соотношения уставного капитала и привлечённых средств банка (КС</w:t>
            </w:r>
            <w:r>
              <w:rPr>
                <w:rFonts w:ascii="Times New Roman" w:hAnsi="Times New Roman" w:cs="Times New Roman"/>
                <w:sz w:val="24"/>
                <w:szCs w:val="24"/>
                <w:vertAlign w:val="subscript"/>
                <w:lang w:val="ru-RU"/>
              </w:rPr>
              <w:t>ук пс</w:t>
            </w:r>
            <w:r>
              <w:rPr>
                <w:rFonts w:ascii="Times New Roman" w:hAnsi="Times New Roman" w:cs="Times New Roman"/>
                <w:sz w:val="24"/>
                <w:szCs w:val="24"/>
                <w:lang w:val="ru-RU"/>
              </w:rPr>
              <w:t>)</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r>
      <w:tr w:rsidR="00CE3006" w:rsidRPr="00341029" w:rsidTr="00F922E7">
        <w:tc>
          <w:tcPr>
            <w:tcW w:w="0" w:type="auto"/>
          </w:tcPr>
          <w:p w:rsidR="00CE3006" w:rsidRPr="002F3466"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9. Коэффициент соотношения уставного капитала и кредитных вложений банка (КС</w:t>
            </w:r>
            <w:r>
              <w:rPr>
                <w:rFonts w:ascii="Times New Roman" w:hAnsi="Times New Roman" w:cs="Times New Roman"/>
                <w:sz w:val="24"/>
                <w:szCs w:val="24"/>
                <w:vertAlign w:val="subscript"/>
                <w:lang w:val="ru-RU"/>
              </w:rPr>
              <w:t>ук кв</w:t>
            </w:r>
            <w:r>
              <w:rPr>
                <w:rFonts w:ascii="Times New Roman" w:hAnsi="Times New Roman" w:cs="Times New Roman"/>
                <w:sz w:val="24"/>
                <w:szCs w:val="24"/>
                <w:lang w:val="ru-RU"/>
              </w:rPr>
              <w:t>)</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r>
      <w:tr w:rsidR="00CE3006" w:rsidRPr="005226B1" w:rsidTr="00F922E7">
        <w:trPr>
          <w:trHeight w:val="374"/>
        </w:trPr>
        <w:tc>
          <w:tcPr>
            <w:tcW w:w="0" w:type="auto"/>
          </w:tcPr>
          <w:p w:rsidR="00CE3006"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10. Рентабельность уставного капитала (</w:t>
            </w:r>
            <w:r w:rsidRPr="002F3466">
              <w:rPr>
                <w:rFonts w:ascii="Times New Roman" w:hAnsi="Times New Roman" w:cs="Times New Roman"/>
                <w:sz w:val="24"/>
                <w:szCs w:val="24"/>
                <w:lang w:val="ru-RU"/>
              </w:rPr>
              <w:t>Р</w:t>
            </w:r>
            <w:r>
              <w:rPr>
                <w:rFonts w:ascii="Times New Roman" w:hAnsi="Times New Roman" w:cs="Times New Roman"/>
                <w:sz w:val="24"/>
                <w:szCs w:val="24"/>
                <w:vertAlign w:val="subscript"/>
                <w:lang w:val="ru-RU"/>
              </w:rPr>
              <w:t>ук</w:t>
            </w:r>
            <w:r>
              <w:rPr>
                <w:rFonts w:ascii="Times New Roman" w:hAnsi="Times New Roman" w:cs="Times New Roman"/>
                <w:sz w:val="24"/>
                <w:szCs w:val="24"/>
                <w:lang w:val="ru-RU"/>
              </w:rPr>
              <w:t>)</w:t>
            </w: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c>
          <w:tcPr>
            <w:tcW w:w="0" w:type="auto"/>
          </w:tcPr>
          <w:p w:rsidR="00CE3006" w:rsidRPr="005226B1" w:rsidRDefault="00CE3006" w:rsidP="00F922E7">
            <w:pPr>
              <w:pStyle w:val="a3"/>
              <w:ind w:left="0"/>
              <w:jc w:val="both"/>
              <w:rPr>
                <w:rFonts w:ascii="Times New Roman" w:hAnsi="Times New Roman" w:cs="Times New Roman"/>
                <w:sz w:val="24"/>
                <w:szCs w:val="24"/>
                <w:lang w:val="ru-RU"/>
              </w:rPr>
            </w:pPr>
          </w:p>
        </w:tc>
      </w:tr>
    </w:tbl>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Незначительная доля собственных средств в банке объясняется его специфическими функциями в экономике. Коммерческий банк является посредником, и основная его цель – привлекать временно свободные денежные средства и предоставлять их тем, кто в этих средствах нуждается. Следовательно, основное место в пассивах банка занимают привлечённые ресурсы или как они называются в балансе, обязательства банка.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B4367F">
        <w:rPr>
          <w:rFonts w:ascii="Times New Roman" w:hAnsi="Times New Roman" w:cs="Times New Roman"/>
          <w:i/>
          <w:sz w:val="28"/>
          <w:szCs w:val="28"/>
          <w:lang w:val="ru-RU"/>
        </w:rPr>
        <w:t>Анализ обязательств банка</w:t>
      </w:r>
      <w:r>
        <w:rPr>
          <w:rFonts w:ascii="Times New Roman" w:hAnsi="Times New Roman" w:cs="Times New Roman"/>
          <w:sz w:val="28"/>
          <w:szCs w:val="28"/>
          <w:lang w:val="ru-RU"/>
        </w:rPr>
        <w:t xml:space="preserve"> следует начать с определения общей величины обязательств, его доли в пассиве баланса, а также оценить динамику обязательств за анализируемый период. Эти данные можно свести в таблицу, см. таблицу 5.</w:t>
      </w:r>
    </w:p>
    <w:p w:rsidR="00CE3006" w:rsidRDefault="00CE3006" w:rsidP="00CE3006">
      <w:pPr>
        <w:pStyle w:val="a3"/>
        <w:spacing w:after="0" w:line="240" w:lineRule="auto"/>
        <w:ind w:left="0"/>
        <w:jc w:val="right"/>
        <w:rPr>
          <w:rFonts w:ascii="Times New Roman" w:hAnsi="Times New Roman" w:cs="Times New Roman"/>
          <w:sz w:val="28"/>
          <w:szCs w:val="28"/>
          <w:lang w:val="ru-RU"/>
        </w:rPr>
      </w:pPr>
    </w:p>
    <w:p w:rsidR="00CE3006" w:rsidRPr="00F27595" w:rsidRDefault="00CE3006" w:rsidP="00CE3006">
      <w:pPr>
        <w:pStyle w:val="a3"/>
        <w:spacing w:after="0" w:line="240" w:lineRule="auto"/>
        <w:ind w:left="0"/>
        <w:jc w:val="right"/>
        <w:rPr>
          <w:rFonts w:ascii="Times New Roman" w:hAnsi="Times New Roman" w:cs="Times New Roman"/>
          <w:sz w:val="28"/>
          <w:szCs w:val="28"/>
          <w:lang w:val="ru-RU"/>
        </w:rPr>
      </w:pPr>
      <w:r w:rsidRPr="00F27595">
        <w:rPr>
          <w:rFonts w:ascii="Times New Roman" w:hAnsi="Times New Roman" w:cs="Times New Roman"/>
          <w:sz w:val="28"/>
          <w:szCs w:val="28"/>
          <w:lang w:val="ru-RU"/>
        </w:rPr>
        <w:t xml:space="preserve">Таблица 5 </w:t>
      </w:r>
      <w:r>
        <w:rPr>
          <w:rFonts w:ascii="Times New Roman" w:hAnsi="Times New Roman" w:cs="Times New Roman"/>
          <w:sz w:val="28"/>
          <w:szCs w:val="28"/>
          <w:lang w:val="ru-RU"/>
        </w:rPr>
        <w:t>–</w:t>
      </w:r>
      <w:r w:rsidRPr="00F27595">
        <w:rPr>
          <w:rFonts w:ascii="Times New Roman" w:hAnsi="Times New Roman" w:cs="Times New Roman"/>
          <w:sz w:val="28"/>
          <w:szCs w:val="28"/>
          <w:lang w:val="ru-RU"/>
        </w:rPr>
        <w:t xml:space="preserve"> </w:t>
      </w:r>
      <w:r>
        <w:rPr>
          <w:rFonts w:ascii="Times New Roman" w:hAnsi="Times New Roman" w:cs="Times New Roman"/>
          <w:sz w:val="28"/>
          <w:szCs w:val="28"/>
          <w:lang w:val="ru-RU"/>
        </w:rPr>
        <w:t>Динамика обязательств банка, тыс. руб.</w:t>
      </w:r>
    </w:p>
    <w:tbl>
      <w:tblPr>
        <w:tblStyle w:val="a4"/>
        <w:tblW w:w="10188" w:type="dxa"/>
        <w:tblLayout w:type="fixed"/>
        <w:tblCellMar>
          <w:left w:w="28" w:type="dxa"/>
          <w:right w:w="28" w:type="dxa"/>
        </w:tblCellMar>
        <w:tblLook w:val="04A0" w:firstRow="1" w:lastRow="0" w:firstColumn="1" w:lastColumn="0" w:noHBand="0" w:noVBand="1"/>
      </w:tblPr>
      <w:tblGrid>
        <w:gridCol w:w="4595"/>
        <w:gridCol w:w="571"/>
        <w:gridCol w:w="571"/>
        <w:gridCol w:w="571"/>
        <w:gridCol w:w="970"/>
        <w:gridCol w:w="970"/>
        <w:gridCol w:w="970"/>
        <w:gridCol w:w="970"/>
      </w:tblGrid>
      <w:tr w:rsidR="00CE3006" w:rsidRPr="00CC749E" w:rsidTr="00F922E7">
        <w:tc>
          <w:tcPr>
            <w:tcW w:w="4595" w:type="dxa"/>
            <w:vMerge w:val="restart"/>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Наименование вида обязательств</w:t>
            </w:r>
          </w:p>
        </w:tc>
        <w:tc>
          <w:tcPr>
            <w:tcW w:w="1713" w:type="dxa"/>
            <w:gridSpan w:val="3"/>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1940" w:type="dxa"/>
            <w:gridSpan w:val="2"/>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Изменение, +/–</w:t>
            </w:r>
          </w:p>
        </w:tc>
        <w:tc>
          <w:tcPr>
            <w:tcW w:w="1940" w:type="dxa"/>
            <w:gridSpan w:val="2"/>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Темп роста, %</w:t>
            </w:r>
          </w:p>
        </w:tc>
      </w:tr>
      <w:tr w:rsidR="00CE3006" w:rsidRPr="00CC749E" w:rsidTr="00F922E7">
        <w:tc>
          <w:tcPr>
            <w:tcW w:w="4595" w:type="dxa"/>
            <w:vMerge/>
          </w:tcPr>
          <w:p w:rsidR="00CE3006" w:rsidRPr="00CC749E" w:rsidRDefault="00CE3006" w:rsidP="00F922E7">
            <w:pPr>
              <w:pStyle w:val="a3"/>
              <w:ind w:left="0"/>
              <w:jc w:val="both"/>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2014</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2015</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2016</w:t>
            </w: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2015 г. к 2014 г.</w:t>
            </w: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2016 г. к 2015 г.</w:t>
            </w: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2015 г. к 2014 г.</w:t>
            </w: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2016 г. к 2015 г.</w:t>
            </w:r>
          </w:p>
        </w:tc>
      </w:tr>
      <w:tr w:rsidR="00CE3006" w:rsidRPr="00341029" w:rsidTr="00F922E7">
        <w:tc>
          <w:tcPr>
            <w:tcW w:w="4595" w:type="dxa"/>
          </w:tcPr>
          <w:p w:rsidR="00CE3006" w:rsidRPr="00CC749E"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1. Кредиты, депозиты и прочие средства Центрального Банка России</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r>
      <w:tr w:rsidR="00CE3006" w:rsidRPr="00CC749E" w:rsidTr="00F922E7">
        <w:tc>
          <w:tcPr>
            <w:tcW w:w="4595" w:type="dxa"/>
          </w:tcPr>
          <w:p w:rsidR="00CE3006" w:rsidRPr="00F27595" w:rsidRDefault="00CE3006" w:rsidP="00F922E7">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 Средства кредитных организаций</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r>
      <w:tr w:rsidR="00CE3006" w:rsidRPr="00CC749E" w:rsidTr="00F922E7">
        <w:tc>
          <w:tcPr>
            <w:tcW w:w="4595" w:type="dxa"/>
          </w:tcPr>
          <w:p w:rsidR="00CE3006" w:rsidRPr="00F27595" w:rsidRDefault="00CE3006" w:rsidP="00F922E7">
            <w:pPr>
              <w:jc w:val="both"/>
              <w:rPr>
                <w:rFonts w:ascii="Times New Roman" w:hAnsi="Times New Roman" w:cs="Times New Roman"/>
                <w:sz w:val="24"/>
                <w:szCs w:val="24"/>
                <w:lang w:val="ru-RU"/>
              </w:rPr>
            </w:pPr>
            <w:r>
              <w:rPr>
                <w:rFonts w:ascii="Times New Roman" w:hAnsi="Times New Roman" w:cs="Times New Roman"/>
                <w:sz w:val="24"/>
                <w:szCs w:val="24"/>
                <w:lang w:val="ru-RU"/>
              </w:rPr>
              <w:t>3. Средства клиентов (некредитных организаций)</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r>
      <w:tr w:rsidR="00CE3006" w:rsidRPr="00CC749E" w:rsidTr="00F922E7">
        <w:tc>
          <w:tcPr>
            <w:tcW w:w="4595" w:type="dxa"/>
          </w:tcPr>
          <w:p w:rsidR="00CE3006" w:rsidRPr="00CC749E"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3.1 Вклады физических лиц</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r>
      <w:tr w:rsidR="00CE3006" w:rsidRPr="00341029" w:rsidTr="00F922E7">
        <w:tc>
          <w:tcPr>
            <w:tcW w:w="4595" w:type="dxa"/>
          </w:tcPr>
          <w:p w:rsidR="00CE3006" w:rsidRPr="00CC749E"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4. Финансовые обязательства, оцениваемые по справедливой стоимости через прибыль или убыток</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r>
      <w:tr w:rsidR="00CE3006" w:rsidRPr="00CC749E" w:rsidTr="00F922E7">
        <w:tc>
          <w:tcPr>
            <w:tcW w:w="4595" w:type="dxa"/>
          </w:tcPr>
          <w:p w:rsidR="00CE3006" w:rsidRPr="00CC749E"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5. Выпущенные долговые обязательства</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r>
      <w:tr w:rsidR="00CE3006" w:rsidRPr="00CC749E" w:rsidTr="00F922E7">
        <w:tc>
          <w:tcPr>
            <w:tcW w:w="4595" w:type="dxa"/>
          </w:tcPr>
          <w:p w:rsidR="00CE3006"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6. Прочие обязательства</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r>
      <w:tr w:rsidR="00CE3006" w:rsidRPr="00341029" w:rsidTr="00F922E7">
        <w:tc>
          <w:tcPr>
            <w:tcW w:w="4595" w:type="dxa"/>
          </w:tcPr>
          <w:p w:rsidR="00CE3006" w:rsidRDefault="00CE3006" w:rsidP="00F922E7">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7. Резервы на возможные потери по условным обязательствам кредитного характера, прочим возможным потерям и операциям с резидентами офшорных зон</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r>
      <w:tr w:rsidR="00CE3006" w:rsidRPr="00CC749E" w:rsidTr="00F922E7">
        <w:tc>
          <w:tcPr>
            <w:tcW w:w="4595" w:type="dxa"/>
          </w:tcPr>
          <w:p w:rsidR="00CE3006" w:rsidRPr="001F6287" w:rsidRDefault="00CE3006" w:rsidP="00F922E7">
            <w:pPr>
              <w:jc w:val="both"/>
              <w:rPr>
                <w:rFonts w:ascii="Times New Roman" w:hAnsi="Times New Roman" w:cs="Times New Roman"/>
                <w:sz w:val="24"/>
                <w:szCs w:val="24"/>
                <w:lang w:val="ru-RU"/>
              </w:rPr>
            </w:pPr>
            <w:r>
              <w:rPr>
                <w:rFonts w:ascii="Times New Roman" w:hAnsi="Times New Roman" w:cs="Times New Roman"/>
                <w:sz w:val="24"/>
                <w:szCs w:val="24"/>
                <w:lang w:val="ru-RU"/>
              </w:rPr>
              <w:t>8. Всего обязательств</w:t>
            </w: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571"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c>
          <w:tcPr>
            <w:tcW w:w="970" w:type="dxa"/>
            <w:vAlign w:val="center"/>
          </w:tcPr>
          <w:p w:rsidR="00CE3006" w:rsidRPr="00CC749E" w:rsidRDefault="00CE3006" w:rsidP="00F922E7">
            <w:pPr>
              <w:pStyle w:val="a3"/>
              <w:ind w:left="0"/>
              <w:jc w:val="center"/>
              <w:rPr>
                <w:rFonts w:ascii="Times New Roman" w:hAnsi="Times New Roman" w:cs="Times New Roman"/>
                <w:sz w:val="24"/>
                <w:szCs w:val="24"/>
                <w:lang w:val="ru-RU"/>
              </w:rPr>
            </w:pPr>
          </w:p>
        </w:tc>
      </w:tr>
    </w:tbl>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целом рост обязательств является положительной тенденцией. Однако в этом есть и негативные моменты, связанные с повышением зависимости банка от привлечённых источников и ростом рисков в банковской деятельности.</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Для определения факторов, влияющих на величину привлеченных средств, можно провести вертикальный анализ структуры привлеченных средств. Такие расчёты позволят проследить, как изменялась доля каждого источника на протяжении анализируемого периода.</w:t>
      </w:r>
    </w:p>
    <w:p w:rsidR="00CE3006" w:rsidRPr="002233D5"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Особое внимание при анализе необходимо уделить тем источникам, которые занимают наибольший удельный вес в обязательствах банка, оценить их влияние на изменение общей ресурсной базы банка. Также следует оценить стабильность ресурсной базы банка, определить зависимость банка от привлечения средств из тех или иных источников и выявить тенденции в формировании ресурсной базы.</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Наряду с анализом структуры обязательств в соответствии с балансом целесообразно провести оценку агрегированной структуры обязательств банка по следующей схеме:</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Заемные источники объединяют кредиты, депозиты и прочие средства Центрального банка России и средства кредитных организаций;</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Средства клиентов (некредитных организаций) остаются в агрегированном балансе в неизменном виде;</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Средства, привлеченные на фондовом рынке, объединяют финансовые обязательства, оцениваемые по справедливой стоимости через прибыль или убыток и выпущенные долговые обязательства;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Прочие обязательства и резервы на возможные потери по условным обязательствам кредитного характера, прочим возможным потерям и операциям с резидентами офшорных зон объединяют в одну группу.</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Рассчитанные показатели можно объединить в таблицу, см. таблицу 6.</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Анализ структуры обязательств банка позволяет оценить степень диверсификации привлеченных пассивов. Диверсификация ресурсной базы банка является важной характеристикой, так как позволяет увидеть риски потери платежеспособности банка. В случае кризисных явлений банк может потерять значительную часть ресурсов, если они чрезмерно зависимы от одного источника привлечений. Считается, что обязательства банка будут диверсифицированы, когда ни одна из статей не занимает более 50% его баланса. В то же время высокая доля средств клиентов, особенно вкладов физических лиц, хотя и создает определенные риски, связанные с возможностью возникновения банковской паники, не является негативной характеристикой состояния банка. Высокая доля других источников – однозначно негативная характеристика.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p>
    <w:p w:rsidR="00CE3006" w:rsidRPr="00877DCF" w:rsidRDefault="00CE3006" w:rsidP="00CE3006">
      <w:pPr>
        <w:pStyle w:val="a3"/>
        <w:spacing w:after="0" w:line="360" w:lineRule="auto"/>
        <w:ind w:left="0" w:firstLine="709"/>
        <w:jc w:val="right"/>
        <w:rPr>
          <w:rFonts w:ascii="Times New Roman" w:hAnsi="Times New Roman" w:cs="Times New Roman"/>
          <w:sz w:val="28"/>
          <w:szCs w:val="28"/>
          <w:lang w:val="ru-RU"/>
        </w:rPr>
      </w:pPr>
      <w:r>
        <w:rPr>
          <w:rFonts w:ascii="Times New Roman" w:hAnsi="Times New Roman" w:cs="Times New Roman"/>
          <w:sz w:val="28"/>
          <w:szCs w:val="28"/>
          <w:lang w:val="ru-RU"/>
        </w:rPr>
        <w:t>Таблица 6 – Динамика структуры агрегированного баланса</w:t>
      </w:r>
    </w:p>
    <w:tbl>
      <w:tblPr>
        <w:tblStyle w:val="a4"/>
        <w:tblW w:w="10773" w:type="dxa"/>
        <w:tblInd w:w="-459" w:type="dxa"/>
        <w:tblLayout w:type="fixed"/>
        <w:tblLook w:val="04A0" w:firstRow="1" w:lastRow="0" w:firstColumn="1" w:lastColumn="0" w:noHBand="0" w:noVBand="1"/>
      </w:tblPr>
      <w:tblGrid>
        <w:gridCol w:w="6379"/>
        <w:gridCol w:w="709"/>
        <w:gridCol w:w="709"/>
        <w:gridCol w:w="708"/>
        <w:gridCol w:w="1134"/>
        <w:gridCol w:w="1134"/>
      </w:tblGrid>
      <w:tr w:rsidR="00CE3006" w:rsidRPr="00B014D2" w:rsidTr="00F922E7">
        <w:tc>
          <w:tcPr>
            <w:tcW w:w="6379" w:type="dxa"/>
            <w:vMerge w:val="restart"/>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Наименование показателя</w:t>
            </w:r>
          </w:p>
        </w:tc>
        <w:tc>
          <w:tcPr>
            <w:tcW w:w="2126" w:type="dxa"/>
            <w:gridSpan w:val="3"/>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2268" w:type="dxa"/>
            <w:gridSpan w:val="2"/>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Изменение, +</w:t>
            </w:r>
            <w:r>
              <w:rPr>
                <w:rFonts w:ascii="Times New Roman" w:hAnsi="Times New Roman" w:cs="Times New Roman"/>
                <w:sz w:val="24"/>
                <w:szCs w:val="24"/>
              </w:rPr>
              <w:t>/</w:t>
            </w:r>
            <w:r>
              <w:rPr>
                <w:rFonts w:ascii="Times New Roman" w:hAnsi="Times New Roman" w:cs="Times New Roman"/>
                <w:sz w:val="24"/>
                <w:szCs w:val="24"/>
                <w:lang w:val="ru-RU"/>
              </w:rPr>
              <w:t>–</w:t>
            </w:r>
          </w:p>
        </w:tc>
      </w:tr>
      <w:tr w:rsidR="00CE3006" w:rsidRPr="00B014D2" w:rsidTr="00F922E7">
        <w:tc>
          <w:tcPr>
            <w:tcW w:w="6379" w:type="dxa"/>
            <w:vMerge/>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p>
        </w:tc>
        <w:tc>
          <w:tcPr>
            <w:tcW w:w="70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2014</w:t>
            </w:r>
          </w:p>
        </w:tc>
        <w:tc>
          <w:tcPr>
            <w:tcW w:w="70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2015</w:t>
            </w:r>
          </w:p>
        </w:tc>
        <w:tc>
          <w:tcPr>
            <w:tcW w:w="708"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2016</w:t>
            </w:r>
          </w:p>
        </w:tc>
        <w:tc>
          <w:tcPr>
            <w:tcW w:w="1134"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2015 г.к 2014 г.</w:t>
            </w:r>
          </w:p>
        </w:tc>
        <w:tc>
          <w:tcPr>
            <w:tcW w:w="1134"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2016 г.к 2015 г.</w:t>
            </w:r>
          </w:p>
        </w:tc>
      </w:tr>
      <w:tr w:rsidR="00CE3006" w:rsidRPr="00B014D2" w:rsidTr="00F922E7">
        <w:tc>
          <w:tcPr>
            <w:tcW w:w="637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1. Заемные источники, тыс. руб.</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8"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r>
      <w:tr w:rsidR="00CE3006" w:rsidRPr="00B014D2" w:rsidTr="00F922E7">
        <w:tc>
          <w:tcPr>
            <w:tcW w:w="637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 Заемные источники, %</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8"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r>
      <w:tr w:rsidR="00CE3006" w:rsidRPr="00B014D2" w:rsidTr="00F922E7">
        <w:tc>
          <w:tcPr>
            <w:tcW w:w="637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3. Средства клиентов, тыс. руб.</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8"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r>
      <w:tr w:rsidR="00CE3006" w:rsidRPr="00B014D2" w:rsidTr="00F922E7">
        <w:tc>
          <w:tcPr>
            <w:tcW w:w="637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4. Средства клиентов, %</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8"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r>
      <w:tr w:rsidR="00CE3006" w:rsidRPr="00341029" w:rsidTr="00F922E7">
        <w:tc>
          <w:tcPr>
            <w:tcW w:w="637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5. Средства, привлеченные на фондовом рынке, тыс. руб.</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8"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r>
      <w:tr w:rsidR="00CE3006" w:rsidRPr="00341029" w:rsidTr="00F922E7">
        <w:tc>
          <w:tcPr>
            <w:tcW w:w="637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6. Средства, привлеченные на фондовом рынке, %</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8"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r>
      <w:tr w:rsidR="00CE3006" w:rsidRPr="00341029" w:rsidTr="00F922E7">
        <w:tc>
          <w:tcPr>
            <w:tcW w:w="637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7. Прочие обязательства и резервы, тыс. руб.</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8"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r>
      <w:tr w:rsidR="00CE3006" w:rsidRPr="00B014D2" w:rsidTr="00F922E7">
        <w:tc>
          <w:tcPr>
            <w:tcW w:w="637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8. Прочие обязательства и резервы, %</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8"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r>
      <w:tr w:rsidR="00CE3006" w:rsidRPr="00B014D2" w:rsidTr="00F922E7">
        <w:tc>
          <w:tcPr>
            <w:tcW w:w="637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9. Итого обязательств, тыс. руб.</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708"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p>
        </w:tc>
      </w:tr>
      <w:tr w:rsidR="00CE3006" w:rsidRPr="00B014D2" w:rsidTr="00F922E7">
        <w:tc>
          <w:tcPr>
            <w:tcW w:w="6379" w:type="dxa"/>
          </w:tcPr>
          <w:p w:rsidR="00CE3006" w:rsidRPr="00B014D2" w:rsidRDefault="00CE3006" w:rsidP="00F922E7">
            <w:pPr>
              <w:pStyle w:val="a3"/>
              <w:spacing w:line="36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9. Итого обязательств, %</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709"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708"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134" w:type="dxa"/>
            <w:vAlign w:val="center"/>
          </w:tcPr>
          <w:p w:rsidR="00CE3006" w:rsidRPr="00B014D2" w:rsidRDefault="00CE3006" w:rsidP="00F922E7">
            <w:pPr>
              <w:pStyle w:val="a3"/>
              <w:spacing w:line="360" w:lineRule="auto"/>
              <w:ind w:left="0"/>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bl>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Анализируя данные таблицы 6, следует учитывать, средства клиентов (вклады населения, предприятий, организаций) являются наиболее дешевыми поэтому банку следует привлекать именно эти средства, увеличивая их долю в балансе банка.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Наряду с оценкой динамик и структуры привлеченных средств банка целесообразно рассчитать показатели эффективности их использования и рентабельности:</w:t>
      </w:r>
    </w:p>
    <w:p w:rsidR="00CE3006" w:rsidRDefault="00CE3006" w:rsidP="00CE3006">
      <w:pPr>
        <w:pStyle w:val="a3"/>
        <w:numPr>
          <w:ilvl w:val="0"/>
          <w:numId w:val="2"/>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Эффективность использования банком привлеченных средств для финансирования кредитных вложений (Э</w:t>
      </w:r>
      <w:r>
        <w:rPr>
          <w:rFonts w:ascii="Times New Roman" w:hAnsi="Times New Roman" w:cs="Times New Roman"/>
          <w:sz w:val="28"/>
          <w:szCs w:val="28"/>
          <w:vertAlign w:val="subscript"/>
          <w:lang w:val="ru-RU"/>
        </w:rPr>
        <w:t>пс</w:t>
      </w:r>
      <w:r>
        <w:rPr>
          <w:rFonts w:ascii="Times New Roman" w:hAnsi="Times New Roman" w:cs="Times New Roman"/>
          <w:sz w:val="28"/>
          <w:szCs w:val="28"/>
          <w:lang w:val="ru-RU"/>
        </w:rPr>
        <w:t>);</w:t>
      </w:r>
    </w:p>
    <w:p w:rsidR="00CE3006" w:rsidRDefault="00CE3006" w:rsidP="00CE3006">
      <w:pPr>
        <w:pStyle w:val="a3"/>
        <w:numPr>
          <w:ilvl w:val="0"/>
          <w:numId w:val="2"/>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Рентабельность привлеченных средств (Р</w:t>
      </w:r>
      <w:r>
        <w:rPr>
          <w:rFonts w:ascii="Times New Roman" w:hAnsi="Times New Roman" w:cs="Times New Roman"/>
          <w:sz w:val="28"/>
          <w:szCs w:val="28"/>
          <w:vertAlign w:val="subscript"/>
          <w:lang w:val="ru-RU"/>
        </w:rPr>
        <w:t>пс</w:t>
      </w:r>
      <w:r>
        <w:rPr>
          <w:rFonts w:ascii="Times New Roman" w:hAnsi="Times New Roman" w:cs="Times New Roman"/>
          <w:sz w:val="28"/>
          <w:szCs w:val="28"/>
          <w:lang w:val="ru-RU"/>
        </w:rPr>
        <w:t>);</w:t>
      </w:r>
    </w:p>
    <w:p w:rsidR="00CE3006" w:rsidRDefault="00CE3006" w:rsidP="00CE3006">
      <w:pPr>
        <w:pStyle w:val="a3"/>
        <w:numPr>
          <w:ilvl w:val="0"/>
          <w:numId w:val="2"/>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 соотношения привлеченных средств на межбанковском рынке и общей суммы привлеченных средств (КС</w:t>
      </w:r>
      <w:r>
        <w:rPr>
          <w:rFonts w:ascii="Times New Roman" w:hAnsi="Times New Roman" w:cs="Times New Roman"/>
          <w:sz w:val="28"/>
          <w:szCs w:val="28"/>
          <w:vertAlign w:val="subscript"/>
          <w:lang w:val="ru-RU"/>
        </w:rPr>
        <w:t>ско пс</w:t>
      </w:r>
      <w:r>
        <w:rPr>
          <w:rFonts w:ascii="Times New Roman" w:hAnsi="Times New Roman" w:cs="Times New Roman"/>
          <w:sz w:val="28"/>
          <w:szCs w:val="28"/>
          <w:lang w:val="ru-RU"/>
        </w:rPr>
        <w:t>);</w:t>
      </w:r>
    </w:p>
    <w:p w:rsidR="00CE3006" w:rsidRDefault="00CE3006" w:rsidP="00CE3006">
      <w:pPr>
        <w:pStyle w:val="a3"/>
        <w:numPr>
          <w:ilvl w:val="0"/>
          <w:numId w:val="2"/>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 активности банка на межбанковском рынке (КА</w:t>
      </w:r>
      <w:r>
        <w:rPr>
          <w:rFonts w:ascii="Times New Roman" w:hAnsi="Times New Roman" w:cs="Times New Roman"/>
          <w:sz w:val="28"/>
          <w:szCs w:val="28"/>
          <w:vertAlign w:val="subscript"/>
          <w:lang w:val="ru-RU"/>
        </w:rPr>
        <w:t>мбк</w:t>
      </w:r>
      <w:r>
        <w:rPr>
          <w:rFonts w:ascii="Times New Roman" w:hAnsi="Times New Roman" w:cs="Times New Roman"/>
          <w:sz w:val="28"/>
          <w:szCs w:val="28"/>
          <w:lang w:val="ru-RU"/>
        </w:rPr>
        <w:t>);</w:t>
      </w:r>
    </w:p>
    <w:p w:rsidR="00CE3006" w:rsidRDefault="00CE3006" w:rsidP="00CE3006">
      <w:pPr>
        <w:pStyle w:val="a3"/>
        <w:numPr>
          <w:ilvl w:val="0"/>
          <w:numId w:val="2"/>
        </w:numPr>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Коэффициент рефинансирования ЦБ РФ  (КР</w:t>
      </w:r>
      <w:r>
        <w:rPr>
          <w:rFonts w:ascii="Times New Roman" w:hAnsi="Times New Roman" w:cs="Times New Roman"/>
          <w:sz w:val="28"/>
          <w:szCs w:val="28"/>
          <w:vertAlign w:val="subscript"/>
          <w:lang w:val="ru-RU"/>
        </w:rPr>
        <w:t>ЦБ РФ</w:t>
      </w:r>
      <w:r>
        <w:rPr>
          <w:rFonts w:ascii="Times New Roman" w:hAnsi="Times New Roman" w:cs="Times New Roman"/>
          <w:sz w:val="28"/>
          <w:szCs w:val="28"/>
          <w:lang w:val="ru-RU"/>
        </w:rPr>
        <w:t>).</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Вышеуказанные показатели рассчитываются по следующим формулам:</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p>
    <w:tbl>
      <w:tblPr>
        <w:tblStyle w:val="a4"/>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2"/>
        <w:gridCol w:w="846"/>
      </w:tblGrid>
      <w:tr w:rsidR="00CE3006" w:rsidTr="00F922E7">
        <w:tc>
          <w:tcPr>
            <w:tcW w:w="8505" w:type="dxa"/>
          </w:tcPr>
          <w:p w:rsidR="00CE3006" w:rsidRPr="00B42D56" w:rsidRDefault="00CE3006" w:rsidP="00F922E7">
            <w:pPr>
              <w:spacing w:line="360" w:lineRule="auto"/>
              <w:jc w:val="both"/>
              <w:rPr>
                <w:rFonts w:ascii="Times New Roman" w:eastAsia="Calibri" w:hAnsi="Times New Roman"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Э</m:t>
                    </m:r>
                  </m:e>
                  <m:sub>
                    <m:r>
                      <w:rPr>
                        <w:rFonts w:ascii="Cambria Math" w:hAnsi="Cambria Math" w:cs="Cambria Math"/>
                        <w:sz w:val="28"/>
                        <w:szCs w:val="28"/>
                        <w:lang w:val="ru-RU"/>
                      </w:rPr>
                      <m:t>пс</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Cambria Math"/>
                        <w:sz w:val="28"/>
                        <w:szCs w:val="28"/>
                        <w:lang w:val="ru-RU"/>
                      </w:rPr>
                      <m:t>ПС</m:t>
                    </m:r>
                  </m:num>
                  <m:den>
                    <m:r>
                      <m:rPr>
                        <m:sty m:val="p"/>
                      </m:rPr>
                      <w:rPr>
                        <w:rFonts w:ascii="Cambria Math" w:hAnsi="Cambria Math" w:cs="Times New Roman"/>
                        <w:sz w:val="28"/>
                        <w:szCs w:val="28"/>
                        <w:lang w:val="ru-RU"/>
                      </w:rPr>
                      <m:t>КВ</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(15)</w:t>
            </w:r>
          </w:p>
        </w:tc>
      </w:tr>
      <w:tr w:rsidR="00CE3006" w:rsidTr="00F922E7">
        <w:tc>
          <w:tcPr>
            <w:tcW w:w="8505" w:type="dxa"/>
          </w:tcPr>
          <w:p w:rsidR="00CE3006" w:rsidRDefault="00CE3006" w:rsidP="00F922E7">
            <w:pPr>
              <w:pStyle w:val="a3"/>
              <w:spacing w:line="360" w:lineRule="auto"/>
              <w:ind w:left="0" w:firstLine="709"/>
              <w:jc w:val="both"/>
              <w:rPr>
                <w:rFonts w:ascii="Times New Roman" w:eastAsia="Calibri" w:hAnsi="Times New Roman"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Р</m:t>
                    </m:r>
                  </m:e>
                  <m:sub>
                    <m:r>
                      <w:rPr>
                        <w:rFonts w:ascii="Cambria Math" w:hAnsi="Cambria Math" w:cs="Cambria Math"/>
                        <w:sz w:val="28"/>
                        <w:szCs w:val="28"/>
                        <w:lang w:val="ru-RU"/>
                      </w:rPr>
                      <m:t>пс</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Times New Roman"/>
                        <w:sz w:val="28"/>
                        <w:szCs w:val="28"/>
                        <w:lang w:val="ru-RU"/>
                      </w:rPr>
                      <m:t>ЧП</m:t>
                    </m:r>
                  </m:num>
                  <m:den>
                    <m:r>
                      <m:rPr>
                        <m:sty m:val="p"/>
                      </m:rPr>
                      <w:rPr>
                        <w:rFonts w:ascii="Cambria Math" w:hAnsi="Cambria Math" w:cs="Times New Roman"/>
                        <w:sz w:val="28"/>
                        <w:szCs w:val="28"/>
                        <w:lang w:val="ru-RU"/>
                      </w:rPr>
                      <m:t>ПС</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(16)</w:t>
            </w:r>
          </w:p>
        </w:tc>
      </w:tr>
      <w:tr w:rsidR="00CE3006" w:rsidTr="00F922E7">
        <w:tc>
          <w:tcPr>
            <w:tcW w:w="8505" w:type="dxa"/>
          </w:tcPr>
          <w:p w:rsidR="00CE3006" w:rsidRDefault="00CE3006" w:rsidP="00F922E7">
            <w:pPr>
              <w:pStyle w:val="a3"/>
              <w:spacing w:line="360" w:lineRule="auto"/>
              <w:ind w:left="0" w:firstLine="709"/>
              <w:jc w:val="right"/>
              <w:rPr>
                <w:rFonts w:ascii="Times New Roman" w:eastAsia="Calibri" w:hAnsi="Times New Roman"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КС</m:t>
                    </m:r>
                  </m:e>
                  <m:sub>
                    <m:r>
                      <w:rPr>
                        <w:rFonts w:ascii="Cambria Math" w:hAnsi="Cambria Math" w:cs="Cambria Math"/>
                        <w:sz w:val="28"/>
                        <w:szCs w:val="28"/>
                        <w:lang w:val="ru-RU"/>
                      </w:rPr>
                      <m:t>ско пс</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Cambria Math"/>
                        <w:sz w:val="28"/>
                        <w:szCs w:val="28"/>
                        <w:lang w:val="ru-RU"/>
                      </w:rPr>
                      <m:t>СКО</m:t>
                    </m:r>
                  </m:num>
                  <m:den>
                    <m:r>
                      <m:rPr>
                        <m:sty m:val="p"/>
                      </m:rPr>
                      <w:rPr>
                        <w:rFonts w:ascii="Cambria Math" w:hAnsi="Cambria Math" w:cs="Times New Roman"/>
                        <w:sz w:val="28"/>
                        <w:szCs w:val="28"/>
                        <w:lang w:val="ru-RU"/>
                      </w:rPr>
                      <m:t>ПС</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(17)</w:t>
            </w:r>
          </w:p>
        </w:tc>
      </w:tr>
      <w:tr w:rsidR="00CE3006" w:rsidTr="00F922E7">
        <w:tc>
          <w:tcPr>
            <w:tcW w:w="8505" w:type="dxa"/>
          </w:tcPr>
          <w:p w:rsidR="00CE3006" w:rsidRDefault="00CE3006" w:rsidP="00F922E7">
            <w:pPr>
              <w:pStyle w:val="a3"/>
              <w:spacing w:line="360" w:lineRule="auto"/>
              <w:ind w:left="0" w:firstLine="709"/>
              <w:jc w:val="right"/>
              <w:rPr>
                <w:rFonts w:ascii="Times New Roman" w:eastAsia="Calibri" w:hAnsi="Times New Roman"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КА</m:t>
                    </m:r>
                  </m:e>
                  <m:sub>
                    <m:r>
                      <w:rPr>
                        <w:rFonts w:ascii="Cambria Math" w:hAnsi="Cambria Math" w:cs="Cambria Math"/>
                        <w:sz w:val="28"/>
                        <w:szCs w:val="28"/>
                        <w:lang w:val="ru-RU"/>
                      </w:rPr>
                      <m:t>мбк</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r>
                      <m:rPr>
                        <m:sty m:val="p"/>
                      </m:rPr>
                      <w:rPr>
                        <w:rFonts w:ascii="Cambria Math" w:hAnsi="Cambria Math" w:cs="Times New Roman"/>
                        <w:sz w:val="28"/>
                        <w:szCs w:val="28"/>
                        <w:lang w:val="ru-RU"/>
                      </w:rPr>
                      <m:t>СвКО</m:t>
                    </m:r>
                  </m:num>
                  <m:den>
                    <m:r>
                      <m:rPr>
                        <m:sty m:val="p"/>
                      </m:rPr>
                      <w:rPr>
                        <w:rFonts w:ascii="Cambria Math" w:hAnsi="Cambria Math" w:cs="Times New Roman"/>
                        <w:sz w:val="28"/>
                        <w:szCs w:val="28"/>
                        <w:lang w:val="ru-RU"/>
                      </w:rPr>
                      <m:t>СКО</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(18)</w:t>
            </w:r>
          </w:p>
        </w:tc>
      </w:tr>
      <w:tr w:rsidR="00CE3006" w:rsidTr="00F922E7">
        <w:tc>
          <w:tcPr>
            <w:tcW w:w="8505" w:type="dxa"/>
          </w:tcPr>
          <w:p w:rsidR="00CE3006" w:rsidRDefault="00CE3006" w:rsidP="00F922E7">
            <w:pPr>
              <w:pStyle w:val="a3"/>
              <w:spacing w:line="360" w:lineRule="auto"/>
              <w:ind w:left="0" w:firstLine="709"/>
              <w:jc w:val="right"/>
              <w:rPr>
                <w:rFonts w:ascii="Times New Roman" w:eastAsia="Calibri" w:hAnsi="Times New Roman" w:cs="Times New Roman"/>
                <w:sz w:val="28"/>
                <w:szCs w:val="28"/>
                <w:lang w:val="ru-RU"/>
              </w:rPr>
            </w:pPr>
            <m:oMathPara>
              <m:oMathParaPr>
                <m:jc m:val="center"/>
              </m:oMathParaPr>
              <m:oMath>
                <m:sSub>
                  <m:sSubPr>
                    <m:ctrlPr>
                      <w:rPr>
                        <w:rFonts w:ascii="Cambria Math" w:hAnsi="Cambria Math" w:cs="Cambria Math"/>
                        <w:i/>
                        <w:sz w:val="28"/>
                        <w:szCs w:val="28"/>
                        <w:lang w:val="ru-RU"/>
                      </w:rPr>
                    </m:ctrlPr>
                  </m:sSubPr>
                  <m:e>
                    <m:r>
                      <w:rPr>
                        <w:rFonts w:ascii="Cambria Math" w:hAnsi="Cambria Math" w:cs="Cambria Math"/>
                        <w:sz w:val="28"/>
                        <w:szCs w:val="28"/>
                        <w:lang w:val="ru-RU"/>
                      </w:rPr>
                      <m:t>КР</m:t>
                    </m:r>
                  </m:e>
                  <m:sub>
                    <m:r>
                      <w:rPr>
                        <w:rFonts w:ascii="Cambria Math" w:hAnsi="Cambria Math" w:cs="Cambria Math"/>
                        <w:sz w:val="28"/>
                        <w:szCs w:val="28"/>
                        <w:lang w:val="ru-RU"/>
                      </w:rPr>
                      <m:t>цб рф</m:t>
                    </m:r>
                  </m:sub>
                </m:sSub>
                <m:r>
                  <m:rPr>
                    <m:sty m:val="p"/>
                  </m:rPr>
                  <w:rPr>
                    <w:rFonts w:ascii="Cambria Math" w:hAnsi="Cambria Math" w:cs="Cambria Math"/>
                    <w:sz w:val="28"/>
                    <w:szCs w:val="28"/>
                    <w:lang w:val="ru-RU"/>
                  </w:rPr>
                  <m:t>=</m:t>
                </m:r>
                <m:f>
                  <m:fPr>
                    <m:ctrlPr>
                      <w:rPr>
                        <w:rFonts w:ascii="Cambria Math" w:hAnsi="Cambria Math" w:cs="Times New Roman"/>
                        <w:sz w:val="28"/>
                        <w:szCs w:val="28"/>
                        <w:lang w:val="ru-RU"/>
                      </w:rPr>
                    </m:ctrlPr>
                  </m:fPr>
                  <m:num>
                    <m:sSub>
                      <m:sSubPr>
                        <m:ctrlPr>
                          <w:rPr>
                            <w:rFonts w:ascii="Cambria Math" w:hAnsi="Cambria Math" w:cs="Cambria Math"/>
                            <w:sz w:val="28"/>
                            <w:szCs w:val="28"/>
                            <w:lang w:val="ru-RU"/>
                          </w:rPr>
                        </m:ctrlPr>
                      </m:sSubPr>
                      <m:e>
                        <m:r>
                          <m:rPr>
                            <m:sty m:val="p"/>
                          </m:rPr>
                          <w:rPr>
                            <w:rFonts w:ascii="Cambria Math" w:hAnsi="Cambria Math" w:cs="Cambria Math"/>
                            <w:sz w:val="28"/>
                            <w:szCs w:val="28"/>
                            <w:lang w:val="ru-RU"/>
                          </w:rPr>
                          <m:t>К</m:t>
                        </m:r>
                      </m:e>
                      <m:sub>
                        <m:r>
                          <m:rPr>
                            <m:sty m:val="p"/>
                          </m:rPr>
                          <w:rPr>
                            <w:rFonts w:ascii="Cambria Math" w:hAnsi="Cambria Math" w:cs="Cambria Math"/>
                            <w:sz w:val="28"/>
                            <w:szCs w:val="28"/>
                            <w:lang w:val="ru-RU"/>
                          </w:rPr>
                          <m:t>цб рф</m:t>
                        </m:r>
                      </m:sub>
                    </m:sSub>
                  </m:num>
                  <m:den>
                    <m:r>
                      <m:rPr>
                        <m:sty m:val="p"/>
                      </m:rPr>
                      <w:rPr>
                        <w:rFonts w:ascii="Cambria Math" w:hAnsi="Cambria Math" w:cs="Cambria Math"/>
                        <w:sz w:val="28"/>
                        <w:szCs w:val="28"/>
                        <w:lang w:val="ru-RU"/>
                      </w:rPr>
                      <m:t>ПС</m:t>
                    </m:r>
                  </m:den>
                </m:f>
                <m:r>
                  <m:rPr>
                    <m:sty m:val="p"/>
                  </m:rPr>
                  <w:rPr>
                    <w:rFonts w:ascii="Cambria Math" w:hAnsi="Cambria Math" w:cs="Times New Roman"/>
                    <w:sz w:val="28"/>
                    <w:szCs w:val="28"/>
                    <w:lang w:val="ru-RU"/>
                  </w:rPr>
                  <m:t>×100%,</m:t>
                </m:r>
              </m:oMath>
            </m:oMathPara>
          </w:p>
        </w:tc>
        <w:tc>
          <w:tcPr>
            <w:tcW w:w="866" w:type="dxa"/>
          </w:tcPr>
          <w:p w:rsidR="00CE3006" w:rsidRDefault="00CE3006" w:rsidP="00F922E7">
            <w:pPr>
              <w:pStyle w:val="a3"/>
              <w:spacing w:line="360" w:lineRule="auto"/>
              <w:ind w:left="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(19)</w:t>
            </w:r>
          </w:p>
        </w:tc>
      </w:tr>
    </w:tbl>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где ПС – привлеченные средства (итого обязательств банка); КВ – кредитные вложения банка – чистая ссудная задолженность и средства, размещенные в кредитных организациях; ЧП – чистая прибыль банка; СКО – средства кредитных организаций; СвКО – средства в кредитных организациях; К</w:t>
      </w:r>
      <w:r>
        <w:rPr>
          <w:rFonts w:ascii="Times New Roman" w:hAnsi="Times New Roman" w:cs="Times New Roman"/>
          <w:sz w:val="28"/>
          <w:szCs w:val="28"/>
          <w:vertAlign w:val="subscript"/>
          <w:lang w:val="ru-RU"/>
        </w:rPr>
        <w:t>цб РФ</w:t>
      </w:r>
      <w:r>
        <w:rPr>
          <w:rFonts w:ascii="Times New Roman" w:hAnsi="Times New Roman" w:cs="Times New Roman"/>
          <w:sz w:val="28"/>
          <w:szCs w:val="28"/>
          <w:lang w:val="ru-RU"/>
        </w:rPr>
        <w:t xml:space="preserve"> – кредиты, депозиты  и прочие средства Центрального банка Российской Федерации.</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36473F">
        <w:rPr>
          <w:rFonts w:ascii="Times New Roman" w:hAnsi="Times New Roman" w:cs="Times New Roman"/>
          <w:i/>
          <w:sz w:val="28"/>
          <w:szCs w:val="28"/>
          <w:lang w:val="ru-RU"/>
        </w:rPr>
        <w:t xml:space="preserve">Эффективность использования банком привлеченных средств для финансирования кредитных вложений </w:t>
      </w:r>
      <w:r>
        <w:rPr>
          <w:rFonts w:ascii="Times New Roman" w:hAnsi="Times New Roman" w:cs="Times New Roman"/>
          <w:sz w:val="28"/>
          <w:szCs w:val="28"/>
          <w:lang w:val="ru-RU"/>
        </w:rPr>
        <w:t>показывает степень использования привлеченных средств как ресурса кредитования. Значение показателя больше 100% свидетельствует о том, что банк использует привлеченные средства не только как ресурс кредитования, значение показателя меньше 100% показывает, что для кредитования банк использует собственные средства, что косвенно свидетельствует о некоторой пассивности в кредитной политике банка.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115F09">
        <w:rPr>
          <w:rFonts w:ascii="Times New Roman" w:hAnsi="Times New Roman" w:cs="Times New Roman"/>
          <w:i/>
          <w:sz w:val="28"/>
          <w:szCs w:val="28"/>
          <w:lang w:val="ru-RU"/>
        </w:rPr>
        <w:t>Рентабельность привлеченных средств</w:t>
      </w:r>
      <w:r>
        <w:rPr>
          <w:rFonts w:ascii="Times New Roman" w:hAnsi="Times New Roman" w:cs="Times New Roman"/>
          <w:sz w:val="28"/>
          <w:szCs w:val="28"/>
          <w:lang w:val="ru-RU"/>
        </w:rPr>
        <w:t xml:space="preserve"> показывает, сколько приходится чистой прибыли на 1 рубль привлеченных средств банка, и отражает общую эффективность использования привлеченных источников в процессе банковской деятельности.</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Далее представлены показатели рефинансирования деятельности коммерческого банка. Эти три относительных показателя позволяют оценить  уровень зависимости банка от межбанковского кредитования.</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115F09">
        <w:rPr>
          <w:rFonts w:ascii="Times New Roman" w:hAnsi="Times New Roman" w:cs="Times New Roman"/>
          <w:i/>
          <w:sz w:val="28"/>
          <w:szCs w:val="28"/>
          <w:lang w:val="ru-RU"/>
        </w:rPr>
        <w:lastRenderedPageBreak/>
        <w:t>Коэффициент соотношения привлеченных средств на межбанковском рынке и общей суммы привлеченных средств</w:t>
      </w:r>
      <w:r>
        <w:rPr>
          <w:rFonts w:ascii="Times New Roman" w:hAnsi="Times New Roman" w:cs="Times New Roman"/>
          <w:sz w:val="28"/>
          <w:szCs w:val="28"/>
          <w:lang w:val="ru-RU"/>
        </w:rPr>
        <w:t xml:space="preserve"> позволяет оценить зависимость банка от межбанковского кредитования.</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sidRPr="00897391">
        <w:rPr>
          <w:rFonts w:ascii="Times New Roman" w:hAnsi="Times New Roman" w:cs="Times New Roman"/>
          <w:i/>
          <w:sz w:val="28"/>
          <w:szCs w:val="28"/>
          <w:lang w:val="ru-RU"/>
        </w:rPr>
        <w:t>Коэффициент активности банка на межбанковском рынке</w:t>
      </w:r>
      <w:r>
        <w:rPr>
          <w:rFonts w:ascii="Times New Roman" w:hAnsi="Times New Roman" w:cs="Times New Roman"/>
          <w:sz w:val="28"/>
          <w:szCs w:val="28"/>
          <w:lang w:val="ru-RU"/>
        </w:rPr>
        <w:t xml:space="preserve"> определяет соотношение размещенных и привлеченных средств на межбанковском рынке. Значение показателя больше 100% свидетельствует о высокой активности банка и достаточности ресурсов. Значение показателя меньше 100% свидетельствует о нехватке ресурсов, которые банк пополняет за счет межбанковского рынка.</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наличии привлеченных кредитов ЦБ РФ целесообразно рассчитать </w:t>
      </w:r>
      <w:r w:rsidRPr="00897391">
        <w:rPr>
          <w:rFonts w:ascii="Times New Roman" w:hAnsi="Times New Roman" w:cs="Times New Roman"/>
          <w:i/>
          <w:sz w:val="28"/>
          <w:szCs w:val="28"/>
          <w:lang w:val="ru-RU"/>
        </w:rPr>
        <w:t>коэффициент рефинансирования ЦБ РФ</w:t>
      </w:r>
      <w:r>
        <w:rPr>
          <w:rFonts w:ascii="Times New Roman" w:hAnsi="Times New Roman" w:cs="Times New Roman"/>
          <w:sz w:val="28"/>
          <w:szCs w:val="28"/>
          <w:lang w:val="ru-RU"/>
        </w:rPr>
        <w:t xml:space="preserve">. Учитывая, что Центральный банк является «кредитором последней инстанции», рост показателя негативно характеризует деятельность банка и свидетельствует также о недостаточности собственных ресурсов. </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Рассчитанные показатели необходимо объединить в таблицу для удобства анализа, см. таблицу 7.</w:t>
      </w:r>
    </w:p>
    <w:p w:rsidR="00CE3006" w:rsidRDefault="00CE3006" w:rsidP="00CE3006">
      <w:pPr>
        <w:pStyle w:val="a3"/>
        <w:spacing w:after="0" w:line="240" w:lineRule="auto"/>
        <w:ind w:left="0" w:firstLine="709"/>
        <w:jc w:val="both"/>
        <w:rPr>
          <w:rFonts w:ascii="Times New Roman" w:hAnsi="Times New Roman" w:cs="Times New Roman"/>
          <w:sz w:val="28"/>
          <w:szCs w:val="28"/>
          <w:lang w:val="ru-RU"/>
        </w:rPr>
      </w:pPr>
    </w:p>
    <w:p w:rsidR="00CE3006" w:rsidRDefault="00CE3006" w:rsidP="00CE3006">
      <w:pPr>
        <w:pStyle w:val="a3"/>
        <w:spacing w:after="0" w:line="240" w:lineRule="auto"/>
        <w:ind w:left="0" w:firstLine="709"/>
        <w:jc w:val="right"/>
        <w:rPr>
          <w:rFonts w:ascii="Times New Roman" w:hAnsi="Times New Roman" w:cs="Times New Roman"/>
          <w:sz w:val="28"/>
          <w:szCs w:val="28"/>
          <w:lang w:val="ru-RU"/>
        </w:rPr>
      </w:pPr>
      <w:r>
        <w:rPr>
          <w:rFonts w:ascii="Times New Roman" w:hAnsi="Times New Roman" w:cs="Times New Roman"/>
          <w:sz w:val="28"/>
          <w:szCs w:val="28"/>
          <w:lang w:val="ru-RU"/>
        </w:rPr>
        <w:t>Таблица 7 – Показатели, характеризующие использование привлеченных средств банка, %</w:t>
      </w:r>
    </w:p>
    <w:tbl>
      <w:tblPr>
        <w:tblStyle w:val="a4"/>
        <w:tblW w:w="10188" w:type="dxa"/>
        <w:jc w:val="center"/>
        <w:tblLayout w:type="fixed"/>
        <w:tblCellMar>
          <w:left w:w="28" w:type="dxa"/>
          <w:right w:w="28" w:type="dxa"/>
        </w:tblCellMar>
        <w:tblLook w:val="04A0" w:firstRow="1" w:lastRow="0" w:firstColumn="1" w:lastColumn="0" w:noHBand="0" w:noVBand="1"/>
      </w:tblPr>
      <w:tblGrid>
        <w:gridCol w:w="6487"/>
        <w:gridCol w:w="567"/>
        <w:gridCol w:w="567"/>
        <w:gridCol w:w="567"/>
        <w:gridCol w:w="992"/>
        <w:gridCol w:w="1008"/>
      </w:tblGrid>
      <w:tr w:rsidR="00CE3006" w:rsidRPr="00897391" w:rsidTr="00F922E7">
        <w:trPr>
          <w:jc w:val="center"/>
        </w:trPr>
        <w:tc>
          <w:tcPr>
            <w:tcW w:w="6487" w:type="dxa"/>
            <w:vMerge w:val="restart"/>
            <w:vAlign w:val="center"/>
          </w:tcPr>
          <w:p w:rsidR="00CE3006" w:rsidRPr="00897391"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Наименование показателя</w:t>
            </w:r>
          </w:p>
        </w:tc>
        <w:tc>
          <w:tcPr>
            <w:tcW w:w="1701" w:type="dxa"/>
            <w:gridSpan w:val="3"/>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Год</w:t>
            </w:r>
          </w:p>
        </w:tc>
        <w:tc>
          <w:tcPr>
            <w:tcW w:w="2000" w:type="dxa"/>
            <w:gridSpan w:val="2"/>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Изменение</w:t>
            </w:r>
          </w:p>
        </w:tc>
      </w:tr>
      <w:tr w:rsidR="00CE3006" w:rsidRPr="00897391" w:rsidTr="00F922E7">
        <w:trPr>
          <w:jc w:val="center"/>
        </w:trPr>
        <w:tc>
          <w:tcPr>
            <w:tcW w:w="6487" w:type="dxa"/>
            <w:vMerge/>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2014</w:t>
            </w: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2015</w:t>
            </w: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2016</w:t>
            </w:r>
          </w:p>
        </w:tc>
        <w:tc>
          <w:tcPr>
            <w:tcW w:w="992"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2015 г. к 2014 г.</w:t>
            </w:r>
          </w:p>
        </w:tc>
        <w:tc>
          <w:tcPr>
            <w:tcW w:w="1008"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2016 г. к 2015 г.</w:t>
            </w:r>
          </w:p>
        </w:tc>
      </w:tr>
      <w:tr w:rsidR="00CE3006" w:rsidRPr="00341029" w:rsidTr="00F922E7">
        <w:trPr>
          <w:jc w:val="center"/>
        </w:trPr>
        <w:tc>
          <w:tcPr>
            <w:tcW w:w="6487" w:type="dxa"/>
            <w:vAlign w:val="center"/>
          </w:tcPr>
          <w:p w:rsidR="00CE3006" w:rsidRPr="00897391" w:rsidRDefault="00CE3006" w:rsidP="00F922E7">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1. Общий объём привлеченных средств, тыс. руб.</w:t>
            </w: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992"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1008"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r>
      <w:tr w:rsidR="00CE3006" w:rsidRPr="00341029" w:rsidTr="00F922E7">
        <w:trPr>
          <w:jc w:val="center"/>
        </w:trPr>
        <w:tc>
          <w:tcPr>
            <w:tcW w:w="6487" w:type="dxa"/>
            <w:vAlign w:val="center"/>
          </w:tcPr>
          <w:p w:rsidR="00CE3006" w:rsidRPr="00E2247C" w:rsidRDefault="00CE3006" w:rsidP="00F922E7">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2. Эффективность использования банком привлеченных средств для финансирования кредитных вложений (Э</w:t>
            </w:r>
            <w:r>
              <w:rPr>
                <w:rFonts w:ascii="Times New Roman" w:hAnsi="Times New Roman" w:cs="Times New Roman"/>
                <w:sz w:val="24"/>
                <w:szCs w:val="24"/>
                <w:vertAlign w:val="subscript"/>
                <w:lang w:val="ru-RU"/>
              </w:rPr>
              <w:t>пс</w:t>
            </w:r>
            <w:r>
              <w:rPr>
                <w:rFonts w:ascii="Times New Roman" w:hAnsi="Times New Roman" w:cs="Times New Roman"/>
                <w:sz w:val="24"/>
                <w:szCs w:val="24"/>
                <w:lang w:val="ru-RU"/>
              </w:rPr>
              <w:t>)</w:t>
            </w: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992"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1008"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r>
    </w:tbl>
    <w:p w:rsidR="00CE3006" w:rsidRPr="00E2247C" w:rsidRDefault="00CE3006" w:rsidP="00CE3006">
      <w:pPr>
        <w:pStyle w:val="a3"/>
        <w:spacing w:after="0" w:line="240" w:lineRule="auto"/>
        <w:ind w:left="0"/>
        <w:jc w:val="right"/>
        <w:rPr>
          <w:rFonts w:ascii="Times New Roman" w:hAnsi="Times New Roman" w:cs="Times New Roman"/>
          <w:sz w:val="28"/>
          <w:szCs w:val="28"/>
          <w:lang w:val="ru-RU"/>
        </w:rPr>
      </w:pPr>
      <w:r w:rsidRPr="00E2247C">
        <w:rPr>
          <w:rFonts w:ascii="Times New Roman" w:hAnsi="Times New Roman" w:cs="Times New Roman"/>
          <w:sz w:val="28"/>
          <w:szCs w:val="28"/>
          <w:lang w:val="ru-RU"/>
        </w:rPr>
        <w:t>Окончание таблиц</w:t>
      </w:r>
      <w:r>
        <w:rPr>
          <w:rFonts w:ascii="Times New Roman" w:hAnsi="Times New Roman" w:cs="Times New Roman"/>
          <w:sz w:val="28"/>
          <w:szCs w:val="28"/>
          <w:lang w:val="ru-RU"/>
        </w:rPr>
        <w:t>ы</w:t>
      </w:r>
      <w:r w:rsidRPr="00E2247C">
        <w:rPr>
          <w:rFonts w:ascii="Times New Roman" w:hAnsi="Times New Roman" w:cs="Times New Roman"/>
          <w:sz w:val="28"/>
          <w:szCs w:val="28"/>
          <w:lang w:val="ru-RU"/>
        </w:rPr>
        <w:t xml:space="preserve"> 7</w:t>
      </w:r>
    </w:p>
    <w:tbl>
      <w:tblPr>
        <w:tblStyle w:val="a4"/>
        <w:tblW w:w="10188" w:type="dxa"/>
        <w:jc w:val="center"/>
        <w:tblLayout w:type="fixed"/>
        <w:tblCellMar>
          <w:left w:w="28" w:type="dxa"/>
          <w:right w:w="28" w:type="dxa"/>
        </w:tblCellMar>
        <w:tblLook w:val="04A0" w:firstRow="1" w:lastRow="0" w:firstColumn="1" w:lastColumn="0" w:noHBand="0" w:noVBand="1"/>
      </w:tblPr>
      <w:tblGrid>
        <w:gridCol w:w="6487"/>
        <w:gridCol w:w="567"/>
        <w:gridCol w:w="567"/>
        <w:gridCol w:w="567"/>
        <w:gridCol w:w="992"/>
        <w:gridCol w:w="1008"/>
      </w:tblGrid>
      <w:tr w:rsidR="00CE3006" w:rsidRPr="00897391" w:rsidTr="00F922E7">
        <w:trPr>
          <w:jc w:val="center"/>
        </w:trPr>
        <w:tc>
          <w:tcPr>
            <w:tcW w:w="6487" w:type="dxa"/>
            <w:vMerge w:val="restart"/>
            <w:vAlign w:val="center"/>
          </w:tcPr>
          <w:p w:rsidR="00CE3006" w:rsidRPr="00897391" w:rsidRDefault="00CE3006" w:rsidP="00F922E7">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Наименование показателя</w:t>
            </w:r>
          </w:p>
        </w:tc>
        <w:tc>
          <w:tcPr>
            <w:tcW w:w="1701" w:type="dxa"/>
            <w:gridSpan w:val="3"/>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Год</w:t>
            </w:r>
          </w:p>
        </w:tc>
        <w:tc>
          <w:tcPr>
            <w:tcW w:w="2000" w:type="dxa"/>
            <w:gridSpan w:val="2"/>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Изменение</w:t>
            </w:r>
          </w:p>
        </w:tc>
      </w:tr>
      <w:tr w:rsidR="00CE3006" w:rsidRPr="00897391" w:rsidTr="00F922E7">
        <w:trPr>
          <w:jc w:val="center"/>
        </w:trPr>
        <w:tc>
          <w:tcPr>
            <w:tcW w:w="6487" w:type="dxa"/>
            <w:vMerge/>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2014</w:t>
            </w: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2015</w:t>
            </w: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2016</w:t>
            </w:r>
          </w:p>
        </w:tc>
        <w:tc>
          <w:tcPr>
            <w:tcW w:w="992"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2015 г. к 2014 г.</w:t>
            </w:r>
          </w:p>
        </w:tc>
        <w:tc>
          <w:tcPr>
            <w:tcW w:w="1008"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r w:rsidRPr="00897391">
              <w:rPr>
                <w:rFonts w:ascii="Times New Roman" w:hAnsi="Times New Roman" w:cs="Times New Roman"/>
                <w:sz w:val="24"/>
                <w:szCs w:val="24"/>
                <w:lang w:val="ru-RU"/>
              </w:rPr>
              <w:t>2016 г. к 2015 г.</w:t>
            </w:r>
          </w:p>
        </w:tc>
      </w:tr>
      <w:tr w:rsidR="00CE3006" w:rsidRPr="00897391" w:rsidTr="00F922E7">
        <w:trPr>
          <w:jc w:val="center"/>
        </w:trPr>
        <w:tc>
          <w:tcPr>
            <w:tcW w:w="6487" w:type="dxa"/>
            <w:vAlign w:val="center"/>
          </w:tcPr>
          <w:p w:rsidR="00CE3006" w:rsidRPr="00E2247C" w:rsidRDefault="00CE3006" w:rsidP="00F922E7">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3. Рентабельность привлеченных средств (Р</w:t>
            </w:r>
            <w:r>
              <w:rPr>
                <w:rFonts w:ascii="Times New Roman" w:hAnsi="Times New Roman" w:cs="Times New Roman"/>
                <w:sz w:val="24"/>
                <w:szCs w:val="24"/>
                <w:vertAlign w:val="subscript"/>
                <w:lang w:val="ru-RU"/>
              </w:rPr>
              <w:t>пс</w:t>
            </w:r>
            <w:r>
              <w:rPr>
                <w:rFonts w:ascii="Times New Roman" w:hAnsi="Times New Roman" w:cs="Times New Roman"/>
                <w:sz w:val="24"/>
                <w:szCs w:val="24"/>
                <w:lang w:val="ru-RU"/>
              </w:rPr>
              <w:t>)</w:t>
            </w: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992"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1008"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r>
      <w:tr w:rsidR="00CE3006" w:rsidRPr="00341029" w:rsidTr="00F922E7">
        <w:trPr>
          <w:jc w:val="center"/>
        </w:trPr>
        <w:tc>
          <w:tcPr>
            <w:tcW w:w="6487" w:type="dxa"/>
            <w:vAlign w:val="center"/>
          </w:tcPr>
          <w:p w:rsidR="00CE3006" w:rsidRPr="00E2247C" w:rsidRDefault="00CE3006" w:rsidP="00F922E7">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4. Коэффициент соотношения привлеченных средств на межбанковском рынке и общей суммой привлеченных средств (КС</w:t>
            </w:r>
            <w:r>
              <w:rPr>
                <w:rFonts w:ascii="Times New Roman" w:hAnsi="Times New Roman" w:cs="Times New Roman"/>
                <w:sz w:val="24"/>
                <w:szCs w:val="24"/>
                <w:vertAlign w:val="subscript"/>
                <w:lang w:val="ru-RU"/>
              </w:rPr>
              <w:t>ско пс</w:t>
            </w:r>
            <w:r>
              <w:rPr>
                <w:rFonts w:ascii="Times New Roman" w:hAnsi="Times New Roman" w:cs="Times New Roman"/>
                <w:sz w:val="24"/>
                <w:szCs w:val="24"/>
                <w:lang w:val="ru-RU"/>
              </w:rPr>
              <w:t>)</w:t>
            </w: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992"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1008"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r>
      <w:tr w:rsidR="00CE3006" w:rsidRPr="00341029" w:rsidTr="00F922E7">
        <w:trPr>
          <w:jc w:val="center"/>
        </w:trPr>
        <w:tc>
          <w:tcPr>
            <w:tcW w:w="6487" w:type="dxa"/>
            <w:vAlign w:val="center"/>
          </w:tcPr>
          <w:p w:rsidR="00CE3006" w:rsidRPr="00E2247C" w:rsidRDefault="00CE3006" w:rsidP="00F922E7">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lastRenderedPageBreak/>
              <w:t>5. Коэффициент активности банка на межбанковском рынке (КА</w:t>
            </w:r>
            <w:r>
              <w:rPr>
                <w:rFonts w:ascii="Times New Roman" w:hAnsi="Times New Roman" w:cs="Times New Roman"/>
                <w:sz w:val="24"/>
                <w:szCs w:val="24"/>
                <w:vertAlign w:val="subscript"/>
                <w:lang w:val="ru-RU"/>
              </w:rPr>
              <w:t>мбк</w:t>
            </w:r>
            <w:r>
              <w:rPr>
                <w:rFonts w:ascii="Times New Roman" w:hAnsi="Times New Roman" w:cs="Times New Roman"/>
                <w:sz w:val="24"/>
                <w:szCs w:val="24"/>
                <w:lang w:val="ru-RU"/>
              </w:rPr>
              <w:t>)</w:t>
            </w: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992"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1008"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r>
      <w:tr w:rsidR="00CE3006" w:rsidRPr="00341029" w:rsidTr="00F922E7">
        <w:trPr>
          <w:jc w:val="center"/>
        </w:trPr>
        <w:tc>
          <w:tcPr>
            <w:tcW w:w="6487" w:type="dxa"/>
            <w:vAlign w:val="center"/>
          </w:tcPr>
          <w:p w:rsidR="00CE3006" w:rsidRPr="00E2247C" w:rsidRDefault="00CE3006" w:rsidP="00F922E7">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6. Коэффициент рефинансирования ЦБ РФ (КР</w:t>
            </w:r>
            <w:r>
              <w:rPr>
                <w:rFonts w:ascii="Times New Roman" w:hAnsi="Times New Roman" w:cs="Times New Roman"/>
                <w:sz w:val="24"/>
                <w:szCs w:val="24"/>
                <w:vertAlign w:val="subscript"/>
                <w:lang w:val="ru-RU"/>
              </w:rPr>
              <w:t>ЦБ РФ</w:t>
            </w:r>
            <w:r>
              <w:rPr>
                <w:rFonts w:ascii="Times New Roman" w:hAnsi="Times New Roman" w:cs="Times New Roman"/>
                <w:sz w:val="24"/>
                <w:szCs w:val="24"/>
                <w:lang w:val="ru-RU"/>
              </w:rPr>
              <w:t>)</w:t>
            </w: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567"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992"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c>
          <w:tcPr>
            <w:tcW w:w="1008" w:type="dxa"/>
            <w:vAlign w:val="center"/>
          </w:tcPr>
          <w:p w:rsidR="00CE3006" w:rsidRPr="00897391" w:rsidRDefault="00CE3006" w:rsidP="00F922E7">
            <w:pPr>
              <w:pStyle w:val="a3"/>
              <w:ind w:left="0"/>
              <w:jc w:val="center"/>
              <w:rPr>
                <w:rFonts w:ascii="Times New Roman" w:hAnsi="Times New Roman" w:cs="Times New Roman"/>
                <w:sz w:val="24"/>
                <w:szCs w:val="24"/>
                <w:lang w:val="ru-RU"/>
              </w:rPr>
            </w:pPr>
          </w:p>
        </w:tc>
      </w:tr>
    </w:tbl>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 анализе коэффициентов рефинансирования необходимо иметь ввиду, что повышение этих показателей, то есть усиление зависимости деятельности банка от привлеченных средств банков, снижает прибыльность банка, так как средства клиентов (некредитных организаций) дешевле межбанковских кредитов.</w:t>
      </w:r>
    </w:p>
    <w:p w:rsidR="00CE3006" w:rsidRDefault="00CE3006" w:rsidP="00CE3006">
      <w:pPr>
        <w:pStyle w:val="a3"/>
        <w:spacing w:after="0" w:line="360" w:lineRule="auto"/>
        <w:ind w:left="0" w:firstLine="709"/>
        <w:jc w:val="both"/>
        <w:rPr>
          <w:rFonts w:ascii="Times New Roman" w:hAnsi="Times New Roman" w:cs="Times New Roman"/>
          <w:sz w:val="28"/>
          <w:szCs w:val="28"/>
          <w:lang w:val="ru-RU"/>
        </w:rPr>
      </w:pPr>
    </w:p>
    <w:p w:rsidR="00CE3006" w:rsidRPr="004F79A3" w:rsidRDefault="00CE3006" w:rsidP="00CE3006">
      <w:pPr>
        <w:rPr>
          <w:lang w:val="ru-RU"/>
        </w:rPr>
      </w:pPr>
    </w:p>
    <w:p w:rsidR="00895C43" w:rsidRPr="00CE3006" w:rsidRDefault="00895C43">
      <w:pPr>
        <w:rPr>
          <w:lang w:val="ru-RU"/>
        </w:rPr>
      </w:pPr>
      <w:bookmarkStart w:id="0" w:name="_GoBack"/>
      <w:bookmarkEnd w:id="0"/>
    </w:p>
    <w:sectPr w:rsidR="00895C43" w:rsidRPr="00CE3006" w:rsidSect="00A219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006" w:rsidRDefault="00CE3006" w:rsidP="00CE3006">
      <w:pPr>
        <w:spacing w:after="0" w:line="240" w:lineRule="auto"/>
      </w:pPr>
      <w:r>
        <w:separator/>
      </w:r>
    </w:p>
  </w:endnote>
  <w:endnote w:type="continuationSeparator" w:id="0">
    <w:p w:rsidR="00CE3006" w:rsidRDefault="00CE3006" w:rsidP="00CE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006" w:rsidRDefault="00CE3006" w:rsidP="00CE3006">
      <w:pPr>
        <w:spacing w:after="0" w:line="240" w:lineRule="auto"/>
      </w:pPr>
      <w:r>
        <w:separator/>
      </w:r>
    </w:p>
  </w:footnote>
  <w:footnote w:type="continuationSeparator" w:id="0">
    <w:p w:rsidR="00CE3006" w:rsidRDefault="00CE3006" w:rsidP="00CE3006">
      <w:pPr>
        <w:spacing w:after="0" w:line="240" w:lineRule="auto"/>
      </w:pPr>
      <w:r>
        <w:continuationSeparator/>
      </w:r>
    </w:p>
  </w:footnote>
  <w:footnote w:id="1">
    <w:p w:rsidR="00CE3006" w:rsidRPr="00744097" w:rsidRDefault="00CE3006" w:rsidP="00CE3006">
      <w:pPr>
        <w:pStyle w:val="a5"/>
        <w:rPr>
          <w:rFonts w:ascii="Times New Roman" w:hAnsi="Times New Roman" w:cs="Times New Roman"/>
          <w:lang w:val="ru-RU"/>
        </w:rPr>
      </w:pPr>
      <w:r w:rsidRPr="00744097">
        <w:rPr>
          <w:rStyle w:val="a7"/>
          <w:rFonts w:ascii="Times New Roman" w:hAnsi="Times New Roman" w:cs="Times New Roman"/>
        </w:rPr>
        <w:footnoteRef/>
      </w:r>
      <w:r w:rsidRPr="00744097">
        <w:rPr>
          <w:rFonts w:ascii="Times New Roman" w:hAnsi="Times New Roman" w:cs="Times New Roman"/>
          <w:lang w:val="ru-RU"/>
        </w:rPr>
        <w:t xml:space="preserve"> Чистая ссудная задолженность и средства в кредитных организациях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A4B50"/>
    <w:multiLevelType w:val="hybridMultilevel"/>
    <w:tmpl w:val="E05CC8BA"/>
    <w:lvl w:ilvl="0" w:tplc="94389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0222C"/>
    <w:multiLevelType w:val="hybridMultilevel"/>
    <w:tmpl w:val="40A8CF6C"/>
    <w:lvl w:ilvl="0" w:tplc="9438921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06"/>
    <w:rsid w:val="00895C43"/>
    <w:rsid w:val="00CE3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08307-9579-42DD-B5EB-F1770A74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006"/>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006"/>
    <w:pPr>
      <w:ind w:left="720"/>
      <w:contextualSpacing/>
    </w:pPr>
  </w:style>
  <w:style w:type="table" w:styleId="a4">
    <w:name w:val="Table Grid"/>
    <w:basedOn w:val="a1"/>
    <w:uiPriority w:val="59"/>
    <w:rsid w:val="00CE30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E3006"/>
    <w:pPr>
      <w:spacing w:after="0" w:line="240" w:lineRule="auto"/>
    </w:pPr>
    <w:rPr>
      <w:sz w:val="20"/>
      <w:szCs w:val="20"/>
    </w:rPr>
  </w:style>
  <w:style w:type="character" w:customStyle="1" w:styleId="a6">
    <w:name w:val="Текст сноски Знак"/>
    <w:basedOn w:val="a0"/>
    <w:link w:val="a5"/>
    <w:uiPriority w:val="99"/>
    <w:semiHidden/>
    <w:rsid w:val="00CE3006"/>
    <w:rPr>
      <w:sz w:val="20"/>
      <w:szCs w:val="20"/>
      <w:lang w:val="en-US"/>
    </w:rPr>
  </w:style>
  <w:style w:type="character" w:styleId="a7">
    <w:name w:val="footnote reference"/>
    <w:basedOn w:val="a0"/>
    <w:uiPriority w:val="99"/>
    <w:semiHidden/>
    <w:unhideWhenUsed/>
    <w:rsid w:val="00CE30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2049</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Zhargal</dc:creator>
  <cp:keywords/>
  <dc:description/>
  <cp:lastModifiedBy>Zhargal</cp:lastModifiedBy>
  <cp:revision>1</cp:revision>
  <dcterms:created xsi:type="dcterms:W3CDTF">2020-11-19T01:11:00Z</dcterms:created>
  <dcterms:modified xsi:type="dcterms:W3CDTF">2020-11-19T01:12:00Z</dcterms:modified>
</cp:coreProperties>
</file>