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400E" w:rsidRDefault="0023400E">
      <w:pPr>
        <w:rPr>
          <w:rFonts w:ascii="Times New Roman" w:hAnsi="Times New Roman" w:cs="Times New Roman"/>
          <w:sz w:val="28"/>
          <w:szCs w:val="28"/>
        </w:rPr>
      </w:pPr>
      <w:r w:rsidRPr="0023400E">
        <w:rPr>
          <w:rFonts w:ascii="Times New Roman" w:hAnsi="Times New Roman" w:cs="Times New Roman"/>
          <w:sz w:val="28"/>
          <w:szCs w:val="28"/>
        </w:rPr>
        <w:t>Семинар на 23.11.</w:t>
      </w:r>
    </w:p>
    <w:p w:rsidR="0023400E" w:rsidRPr="0023400E" w:rsidRDefault="0023400E" w:rsidP="0023400E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23400E">
        <w:rPr>
          <w:rFonts w:ascii="Times New Roman" w:hAnsi="Times New Roman"/>
          <w:b/>
          <w:sz w:val="28"/>
          <w:szCs w:val="28"/>
        </w:rPr>
        <w:t xml:space="preserve">1. </w:t>
      </w:r>
      <w:r w:rsidRPr="0023400E">
        <w:rPr>
          <w:rFonts w:ascii="Times New Roman" w:hAnsi="Times New Roman"/>
          <w:sz w:val="28"/>
          <w:szCs w:val="28"/>
        </w:rPr>
        <w:t>Систематика нарушений слуха (в зависимости от степени поражения слуховой функции): тугоухость и глухота.</w:t>
      </w:r>
    </w:p>
    <w:p w:rsidR="0023400E" w:rsidRPr="0023400E" w:rsidRDefault="0023400E" w:rsidP="0023400E">
      <w:pPr>
        <w:pStyle w:val="a3"/>
        <w:spacing w:line="360" w:lineRule="auto"/>
        <w:ind w:right="-59"/>
        <w:jc w:val="both"/>
        <w:rPr>
          <w:rFonts w:ascii="Times New Roman" w:hAnsi="Times New Roman"/>
          <w:b/>
          <w:sz w:val="28"/>
          <w:szCs w:val="28"/>
        </w:rPr>
      </w:pPr>
      <w:r w:rsidRPr="0023400E">
        <w:rPr>
          <w:rFonts w:ascii="Times New Roman" w:hAnsi="Times New Roman"/>
          <w:sz w:val="28"/>
          <w:szCs w:val="28"/>
        </w:rPr>
        <w:t xml:space="preserve">2. Причины нарушений слуха. </w:t>
      </w:r>
      <w:r w:rsidRPr="0023400E">
        <w:rPr>
          <w:rFonts w:ascii="Times New Roman" w:hAnsi="Times New Roman"/>
          <w:color w:val="000000"/>
          <w:sz w:val="28"/>
          <w:szCs w:val="28"/>
        </w:rPr>
        <w:t>Структура дефекта при нарушенном слухе.</w:t>
      </w:r>
    </w:p>
    <w:p w:rsidR="0023400E" w:rsidRPr="0023400E" w:rsidRDefault="0023400E" w:rsidP="0023400E">
      <w:pPr>
        <w:pStyle w:val="a3"/>
        <w:spacing w:line="360" w:lineRule="auto"/>
        <w:ind w:right="-59"/>
        <w:jc w:val="both"/>
        <w:rPr>
          <w:rFonts w:ascii="Times New Roman" w:hAnsi="Times New Roman"/>
          <w:color w:val="000000"/>
          <w:sz w:val="28"/>
          <w:szCs w:val="28"/>
        </w:rPr>
      </w:pPr>
      <w:r w:rsidRPr="0023400E">
        <w:rPr>
          <w:rFonts w:ascii="Times New Roman" w:hAnsi="Times New Roman"/>
          <w:b/>
          <w:sz w:val="28"/>
          <w:szCs w:val="28"/>
        </w:rPr>
        <w:t>3.</w:t>
      </w:r>
      <w:r w:rsidRPr="0023400E">
        <w:rPr>
          <w:rFonts w:ascii="Times New Roman" w:hAnsi="Times New Roman"/>
          <w:sz w:val="28"/>
          <w:szCs w:val="28"/>
        </w:rPr>
        <w:t xml:space="preserve"> </w:t>
      </w:r>
      <w:r w:rsidRPr="0023400E">
        <w:rPr>
          <w:rFonts w:ascii="Times New Roman" w:hAnsi="Times New Roman"/>
          <w:color w:val="000000"/>
          <w:sz w:val="28"/>
          <w:szCs w:val="28"/>
        </w:rPr>
        <w:t xml:space="preserve">Сравните медицинскую (Л.В. Нейман) и психолого-педагогическую классификации (Р.М. </w:t>
      </w:r>
      <w:proofErr w:type="spellStart"/>
      <w:r w:rsidRPr="0023400E">
        <w:rPr>
          <w:rFonts w:ascii="Times New Roman" w:hAnsi="Times New Roman"/>
          <w:color w:val="000000"/>
          <w:sz w:val="28"/>
          <w:szCs w:val="28"/>
        </w:rPr>
        <w:t>Боскис</w:t>
      </w:r>
      <w:proofErr w:type="spellEnd"/>
      <w:r w:rsidRPr="0023400E">
        <w:rPr>
          <w:rFonts w:ascii="Times New Roman" w:hAnsi="Times New Roman"/>
          <w:color w:val="000000"/>
          <w:sz w:val="28"/>
          <w:szCs w:val="28"/>
        </w:rPr>
        <w:t>) глухих и слабослышащих. Задание оформите в виде таблицы.</w:t>
      </w:r>
    </w:p>
    <w:p w:rsidR="0023400E" w:rsidRPr="0023400E" w:rsidRDefault="0023400E" w:rsidP="0023400E">
      <w:pPr>
        <w:pStyle w:val="a3"/>
        <w:spacing w:line="360" w:lineRule="auto"/>
        <w:ind w:right="-59"/>
        <w:jc w:val="both"/>
        <w:rPr>
          <w:rFonts w:ascii="Times New Roman" w:hAnsi="Times New Roman"/>
          <w:color w:val="000000"/>
          <w:sz w:val="28"/>
          <w:szCs w:val="28"/>
        </w:rPr>
      </w:pPr>
      <w:r w:rsidRPr="0023400E">
        <w:rPr>
          <w:rFonts w:ascii="Times New Roman" w:hAnsi="Times New Roman"/>
          <w:color w:val="000000"/>
          <w:sz w:val="28"/>
          <w:szCs w:val="28"/>
        </w:rPr>
        <w:t>4. В категорию лиц с нарушениями слуха входят: глухие, слабослышащие и позднооглохшие. Укажите особенности развития речи в каждой перечисленной категории.</w:t>
      </w:r>
    </w:p>
    <w:p w:rsidR="0023400E" w:rsidRPr="0023400E" w:rsidRDefault="0023400E">
      <w:pPr>
        <w:rPr>
          <w:rFonts w:ascii="Times New Roman" w:hAnsi="Times New Roman" w:cs="Times New Roman"/>
          <w:sz w:val="28"/>
          <w:szCs w:val="28"/>
        </w:rPr>
      </w:pPr>
    </w:p>
    <w:sectPr w:rsidR="0023400E" w:rsidRPr="0023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3400E"/>
    <w:rsid w:val="0023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00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2020-10-20T00:00:00Z</dcterms:created>
  <dcterms:modified xsi:type="dcterms:W3CDTF">2020-10-20T00:01:00Z</dcterms:modified>
</cp:coreProperties>
</file>