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ФОТ-17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07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Лекция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Формирование внутренней картины здоровья личности.       </w:t>
      </w:r>
      <w:r>
        <w:rPr>
          <w:rFonts w:ascii="Times New Roman" w:hAnsi="Times New Roman"/>
          <w:b/>
          <w:bCs/>
          <w:sz w:val="28"/>
          <w:szCs w:val="28"/>
        </w:rPr>
        <w:t>Часть 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_10:15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Web"/>
        <w:spacing w:lineRule="auto" w:line="240" w:before="28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План (второй и третий вопросы лекции):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2) Социально-психологические факторы отношения человека к своему здоровью.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3) Механизмы формирования внутренней картины здоровья личности.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Web"/>
        <w:spacing w:lineRule="auto" w:line="240" w:before="280" w:after="0"/>
        <w:ind w:firstLine="709"/>
        <w:jc w:val="both"/>
        <w:rPr>
          <w:rFonts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LibreOffice/7.0.1.2$Windows_x86 LibreOffice_project/7cbcfc562f6eb6708b5ff7d7397325de9e764452</Application>
  <Pages>1</Pages>
  <Words>36</Words>
  <Characters>305</Characters>
  <CharactersWithSpaces>343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2020-12-04T09:28:31Z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