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37" w:rsidRPr="00334A49" w:rsidRDefault="00C20437" w:rsidP="00C204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A49">
        <w:rPr>
          <w:rFonts w:ascii="Times New Roman" w:hAnsi="Times New Roman" w:cs="Times New Roman"/>
          <w:sz w:val="28"/>
          <w:szCs w:val="28"/>
        </w:rPr>
        <w:t>1</w:t>
      </w:r>
      <w:r w:rsidR="00E12ACB">
        <w:rPr>
          <w:rFonts w:ascii="Times New Roman" w:hAnsi="Times New Roman" w:cs="Times New Roman"/>
          <w:sz w:val="28"/>
          <w:szCs w:val="28"/>
        </w:rPr>
        <w:t>0</w:t>
      </w:r>
      <w:r w:rsidRPr="00334A49">
        <w:rPr>
          <w:rFonts w:ascii="Times New Roman" w:hAnsi="Times New Roman" w:cs="Times New Roman"/>
          <w:sz w:val="28"/>
          <w:szCs w:val="28"/>
        </w:rPr>
        <w:t xml:space="preserve"> ноября </w:t>
      </w:r>
    </w:p>
    <w:p w:rsidR="00C20437" w:rsidRPr="00334A49" w:rsidRDefault="00C20437" w:rsidP="00C204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A49">
        <w:rPr>
          <w:rFonts w:ascii="Times New Roman" w:hAnsi="Times New Roman" w:cs="Times New Roman"/>
          <w:sz w:val="28"/>
          <w:szCs w:val="28"/>
        </w:rPr>
        <w:t>МУЗ 1</w:t>
      </w:r>
      <w:r w:rsidR="00E12ACB">
        <w:rPr>
          <w:rFonts w:ascii="Times New Roman" w:hAnsi="Times New Roman" w:cs="Times New Roman"/>
          <w:sz w:val="28"/>
          <w:szCs w:val="28"/>
        </w:rPr>
        <w:t>8</w:t>
      </w:r>
      <w:r w:rsidRPr="00334A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437" w:rsidRPr="00334A49" w:rsidRDefault="00C20437" w:rsidP="00C204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A49">
        <w:rPr>
          <w:rFonts w:ascii="Times New Roman" w:hAnsi="Times New Roman" w:cs="Times New Roman"/>
          <w:sz w:val="28"/>
          <w:szCs w:val="28"/>
        </w:rPr>
        <w:t>Дисциплина: Основы музыкально-теоретических знаний (лекция)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A49">
        <w:rPr>
          <w:rFonts w:ascii="Times New Roman" w:hAnsi="Times New Roman" w:cs="Times New Roman"/>
          <w:sz w:val="28"/>
          <w:szCs w:val="28"/>
        </w:rPr>
        <w:t xml:space="preserve">Тема. </w:t>
      </w:r>
      <w:r>
        <w:rPr>
          <w:rFonts w:ascii="Times New Roman" w:hAnsi="Times New Roman" w:cs="Times New Roman"/>
          <w:sz w:val="28"/>
          <w:szCs w:val="28"/>
        </w:rPr>
        <w:t>Циклические формы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План.</w:t>
      </w:r>
    </w:p>
    <w:p w:rsidR="00C20437" w:rsidRDefault="00C20437" w:rsidP="00C2043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понятии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циклических формах</w:t>
      </w:r>
    </w:p>
    <w:p w:rsidR="00C20437" w:rsidRDefault="00C20437" w:rsidP="00C2043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циклов</w:t>
      </w:r>
    </w:p>
    <w:p w:rsidR="00C20437" w:rsidRDefault="00C20437" w:rsidP="00C2043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A3">
        <w:rPr>
          <w:rFonts w:ascii="Times New Roman" w:hAnsi="Times New Roman" w:cs="Times New Roman"/>
          <w:sz w:val="28"/>
          <w:szCs w:val="28"/>
        </w:rPr>
        <w:t>Сонатно-си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963A3">
        <w:rPr>
          <w:rFonts w:ascii="Times New Roman" w:hAnsi="Times New Roman" w:cs="Times New Roman"/>
          <w:sz w:val="28"/>
          <w:szCs w:val="28"/>
        </w:rPr>
        <w:t>фонически</w:t>
      </w:r>
      <w:r>
        <w:rPr>
          <w:rFonts w:ascii="Times New Roman" w:hAnsi="Times New Roman" w:cs="Times New Roman"/>
          <w:sz w:val="28"/>
          <w:szCs w:val="28"/>
        </w:rPr>
        <w:t>й цикл</w:t>
      </w:r>
    </w:p>
    <w:p w:rsidR="00C20437" w:rsidRDefault="00C20437" w:rsidP="00C2043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сонатно-симфонического цикла</w:t>
      </w:r>
    </w:p>
    <w:p w:rsidR="00C20437" w:rsidRDefault="00C20437" w:rsidP="00C2043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Принципа единства в сонатно-симфоническом цикле</w:t>
      </w:r>
    </w:p>
    <w:p w:rsidR="00C20437" w:rsidRDefault="00C20437" w:rsidP="00C2043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примеров. </w:t>
      </w:r>
    </w:p>
    <w:p w:rsidR="00C20437" w:rsidRPr="00F82E9A" w:rsidRDefault="00C20437" w:rsidP="00C204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437" w:rsidRPr="00C963A3" w:rsidRDefault="00C20437" w:rsidP="00C204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963A3">
        <w:rPr>
          <w:rFonts w:ascii="Times New Roman" w:hAnsi="Times New Roman" w:cs="Times New Roman"/>
          <w:sz w:val="28"/>
          <w:szCs w:val="28"/>
          <w:u w:val="single"/>
        </w:rPr>
        <w:t xml:space="preserve">Общее </w:t>
      </w:r>
      <w:proofErr w:type="gramStart"/>
      <w:r w:rsidRPr="00C963A3">
        <w:rPr>
          <w:rFonts w:ascii="Times New Roman" w:hAnsi="Times New Roman" w:cs="Times New Roman"/>
          <w:sz w:val="28"/>
          <w:szCs w:val="28"/>
          <w:u w:val="single"/>
        </w:rPr>
        <w:t>понятии</w:t>
      </w:r>
      <w:proofErr w:type="gramEnd"/>
      <w:r w:rsidRPr="00C963A3">
        <w:rPr>
          <w:rFonts w:ascii="Times New Roman" w:hAnsi="Times New Roman" w:cs="Times New Roman"/>
          <w:sz w:val="28"/>
          <w:szCs w:val="28"/>
          <w:u w:val="single"/>
        </w:rPr>
        <w:t xml:space="preserve"> о циклических формах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форма называется циклической, если она состоит из нескольких частей, самостоятельных по форме, контрастирующих по характеру, но связанных единством идейно-художественного замысла.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«цикл» в переводе с греческого означает «круг». Циклическая форма охватывает круг различных образов, темпов, жанров. Самостоятельность частей выражается в том, что они иногда могут исполняться отдельно (например – траурный марш из сонаты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b-moll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Шопена). В то же время между частями существуют как прямые, так и опосредованные связи: тематические, структурные, жанровые, образные, сюжетные. В этом – главное отличие циклической формы от сборника, объединяющего пьесы по внешнему виду или случайному признаку. Например: «Песни и пляски» Мусоргского – цикл, а «Юные годы»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борник.</w:t>
      </w:r>
    </w:p>
    <w:p w:rsidR="00C20437" w:rsidRPr="00C963A3" w:rsidRDefault="00C20437" w:rsidP="00C2043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3A3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ды циклов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практике встречаются следующие виды циклов: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сюита;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сонатно-симфонический цикл;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вокальный цикл;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крупный вокально-симфонический цикл.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классификации основным является разделение всех циклических форм на два типа: сюитный и сонатно-симфонический циклы.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>Сонатно-симфонический цикл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Сонатно-симфоническим циклом (или сонатным) называется циклическое произведение, принадлежащее к одному из таких жанров (соната, симфония, концерт, трио, квартет и т. п.), в которых принято хотя бы одну часть (в типичных случаях первую) излагать в сонатной форме.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Сонатно-симфонический цикл преемственно связан со старинной сюитой, но отличается большей контрастностью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óльшим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единством. Раскрытие глубокого и серьезного содержания на основе значительного развития ярких музыкальных образов, на основе контрастности частей музыкального произведения при единстве общего замысла и цельности музыкальной формы – таковы характерные черты сонатно-симфонических циклов. В сонатно-симфонических циклах наиболее ярко проявляется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симфоничность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высший тип музыкального мышления.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формами использования сонатно-симфонического цикла являются: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симфония;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инструментальная соната;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инструментальный концерт.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жанры сложились в творчестве венских классиков, найдя вершинное проявление в сонатах Бетховена. В дальнейшем, в музыке XIX – XX вв. классические закономерности претерпевают значительные изменения в творчестве русских классиков (Чайковский), романтиков, в произведениях Прокофьева, Шостаковича.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Симфония – произведение сонатного типа для оркестра. Небольшие симфонии иногда называются симфониеттами.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Соната – произведение, написанное для одного или двух инструментов (соната для фортепиано, соната для скрипки и фортепиано и т. д.).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Инструментальный концерт – произведение сонатного типа для солиста и оркестра. Количество частей – три (отсутствует скерцо).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сложные ансамбли сонатного типа называются по составу инструментов: трио, квартет, квинтет и т. д.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сонатно-симфонический цикл объединяет произведения определенного типа, но разнообразен по составу инструментов.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u w:val="single"/>
        </w:rPr>
        <w:t>Строение сонатно-симфонического цикла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Сонатно-симфонический цикл обычно трех –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четырехчастен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Трехчастность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присуща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сонатным циклам,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четырехчастность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симфониям.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часть носит действенный, драматический, нередко конфликтный характер и излагается в развитой сонатной форме.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часть медленная, лирического характера. Излагается: в сложной трехчастной форме, вариационной, сонатной форме без разработки, реже – в других формах.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часть. Скерцо или менуэт, вводит жанрово-бытовой элемент. Впервые скерцо вместо менуэта стал использовать Бетховен. Форма III части – сложная трехчастная.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Финал характеризуется оживленным движением с чертами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танцевальности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иногда торжественности. Форма: сонатная, рондо-соната, рондо, тема с вариациями.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Описанное соотношение частей стало нормой сонатно-симфонического цикла. Тем не менее, даже у венских классиков существует два типа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четырехчастного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цикла: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Встречались и трехчастные циклы, в которых обычно отсутствовало скерцо. Реже появлялись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двухчастные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циклы (I часть – сонатная форма,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II</w:t>
      </w:r>
      <w:proofErr w:type="gramEnd"/>
      <w:r>
        <w:rPr>
          <w:rFonts w:ascii="Times New Roman" w:hAnsi="Times New Roman" w:cs="Times New Roman"/>
          <w:sz w:val="28"/>
          <w:szCs w:val="28"/>
        </w:rPr>
        <w:t>часть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рондо или вариации). Например: легкие сонаты Бетховена, трио Чайковского «Памяти великого художника».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более поздних произведениях встречаются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пятичастные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циклы (2-я симфония Скрябина, 3-я симфония Чайковского), возможно и большее количество частей, возникающее как усложнение норматива (два скерцо, две медленные части и т. п.).</w:t>
      </w:r>
    </w:p>
    <w:p w:rsidR="00C20437" w:rsidRPr="00F82E9A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82E9A">
        <w:rPr>
          <w:rFonts w:ascii="Times New Roman" w:hAnsi="Times New Roman" w:cs="Times New Roman"/>
          <w:sz w:val="28"/>
          <w:szCs w:val="28"/>
          <w:u w:val="single"/>
        </w:rPr>
        <w:t>Единство цикла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 цикла достигается тональными и тематическими связями, складывающимися в ряд закономерностей.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Крайние части пишутся, как правило, в одной тональности (при минорной I части финал обычно в одноименном мажоре).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тональности I части называется тональность всего цикла. II часть – обычно в близкородственной тональности (S, одноименная, параллельная и др.). III часть у классиков в главной тональности, у композиторов XIX – XX вв. возможны далекие тональности.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важны для единства цикла интонационные связи между частями. Они могут проявляться в самых разнообразных формах. Например: в «Патетической» сонате Бетховена тема финала объединяет интонации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части и основной темы медленной части. Помимо таких связей возможно проведение в разных частях одного и того же мотива или темы (подобие лейтмотива в опере). Например: Чайковский. Симфония № 4; Шостакович. Симфония № 5; тема «судьбы» в 5-й симфонии Бетховена. Во многих случаях в какой-либо части появляются реминисценции тем предыдущих частей.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Примеры для анализа. Бетховен. Соната № 8</w:t>
      </w: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437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437" w:rsidRPr="00E34019" w:rsidRDefault="00C20437" w:rsidP="00C204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437" w:rsidRDefault="00C20437" w:rsidP="00C20437"/>
    <w:p w:rsidR="009152D6" w:rsidRDefault="009152D6"/>
    <w:sectPr w:rsidR="009152D6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69F"/>
    <w:multiLevelType w:val="hybridMultilevel"/>
    <w:tmpl w:val="0F22EAF0"/>
    <w:lvl w:ilvl="0" w:tplc="5DB44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5E1E20"/>
    <w:multiLevelType w:val="hybridMultilevel"/>
    <w:tmpl w:val="804435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C20437"/>
    <w:rsid w:val="00470927"/>
    <w:rsid w:val="00831198"/>
    <w:rsid w:val="009152D6"/>
    <w:rsid w:val="00C20437"/>
    <w:rsid w:val="00CE29C3"/>
    <w:rsid w:val="00CF21D0"/>
    <w:rsid w:val="00E1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2</cp:revision>
  <dcterms:created xsi:type="dcterms:W3CDTF">2021-11-05T03:39:00Z</dcterms:created>
  <dcterms:modified xsi:type="dcterms:W3CDTF">2021-11-05T03:40:00Z</dcterms:modified>
</cp:coreProperties>
</file>