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649B2" w14:textId="77777777" w:rsidR="00744F00" w:rsidRDefault="00744F00" w:rsidP="00744F0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D61B64" w14:textId="77777777" w:rsidR="00744F00" w:rsidRDefault="00744F00" w:rsidP="00744F00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  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09E58A32" w14:textId="77777777" w:rsidR="00744F00" w:rsidRDefault="00744F00" w:rsidP="00744F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   доступа:  270518</w:t>
      </w:r>
    </w:p>
    <w:p w14:paraId="45F362DA" w14:textId="77777777" w:rsidR="00744F00" w:rsidRDefault="00744F00" w:rsidP="00744F00"/>
    <w:p w14:paraId="7F33E2B7" w14:textId="77777777" w:rsidR="00FA3F6E" w:rsidRDefault="00FA3F6E" w:rsidP="00FA3F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r w:rsidRPr="0088591F">
        <w:rPr>
          <w:rFonts w:ascii="Times New Roman" w:hAnsi="Times New Roman" w:cs="Times New Roman"/>
          <w:b/>
          <w:sz w:val="28"/>
          <w:szCs w:val="28"/>
        </w:rPr>
        <w:t>Бюджетирование проектной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48D771A" w14:textId="77777777" w:rsidR="00FA3F6E" w:rsidRDefault="00FA3F6E" w:rsidP="00FA3F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14:paraId="421ED439" w14:textId="77777777" w:rsidR="00FA3F6E" w:rsidRPr="0088591F" w:rsidRDefault="00FA3F6E" w:rsidP="00FA3F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91F">
        <w:rPr>
          <w:rFonts w:ascii="Times New Roman" w:hAnsi="Times New Roman" w:cs="Times New Roman"/>
          <w:i/>
          <w:sz w:val="28"/>
          <w:szCs w:val="28"/>
        </w:rPr>
        <w:t>Приготовить презентацию на любую из представленных тем:</w:t>
      </w:r>
    </w:p>
    <w:p w14:paraId="33C055E4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Источники финансирования социально-культурных проектов. </w:t>
      </w:r>
    </w:p>
    <w:p w14:paraId="74ABD4BB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Условия получения средств, необходимых для реализации проекта. </w:t>
      </w:r>
    </w:p>
    <w:p w14:paraId="7F0D0004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Требования к проекту в случае конкурсного финансирования (критерии оценки). </w:t>
      </w:r>
    </w:p>
    <w:p w14:paraId="30C6A3D9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Бюджет как источник финансирования социально-культурных проектов. </w:t>
      </w:r>
    </w:p>
    <w:p w14:paraId="4F888230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Условия и механизмы бюджетного финансирования. </w:t>
      </w:r>
    </w:p>
    <w:p w14:paraId="42F75AC8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Структура заявки на участие в федеральных программах. </w:t>
      </w:r>
    </w:p>
    <w:p w14:paraId="2662815A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Внебюджетные источники финансирования. </w:t>
      </w:r>
    </w:p>
    <w:p w14:paraId="2C09133E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Условия получения средств из внебюджетных источников. </w:t>
      </w:r>
    </w:p>
    <w:p w14:paraId="7333F82E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Фонды как источник финансирования. </w:t>
      </w:r>
    </w:p>
    <w:p w14:paraId="2BC4E191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Структура и технология оформления заявки на получение гранта. </w:t>
      </w:r>
    </w:p>
    <w:p w14:paraId="3B0E3E09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>- Условия получения средств от коммерческих структур (стратегия и тактика взаимодействия со спонсорами).</w:t>
      </w:r>
    </w:p>
    <w:p w14:paraId="2C6EA840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Коммерческая деятельность учреждения как дополнительный источник финансирования программ (стратегия, технология, направления). </w:t>
      </w:r>
    </w:p>
    <w:p w14:paraId="2C3975F2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Разработка спонсорского пакета. </w:t>
      </w:r>
    </w:p>
    <w:p w14:paraId="336E7E76" w14:textId="77777777" w:rsidR="00FA3F6E" w:rsidRPr="0088591F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  <w:r w:rsidRPr="0088591F">
        <w:rPr>
          <w:rFonts w:ascii="Times New Roman" w:hAnsi="Times New Roman" w:cs="Times New Roman"/>
          <w:sz w:val="28"/>
          <w:szCs w:val="28"/>
        </w:rPr>
        <w:t xml:space="preserve">- Общая сумма, структура затрат и назначение их расходования. </w:t>
      </w:r>
    </w:p>
    <w:p w14:paraId="30F63B87" w14:textId="77777777" w:rsidR="00FA3F6E" w:rsidRDefault="00FA3F6E" w:rsidP="00FA3F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566888" w14:textId="77777777" w:rsidR="00FA3F6E" w:rsidRDefault="00FA3F6E" w:rsidP="00FA3F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09FA8" w14:textId="77777777" w:rsidR="00A91062" w:rsidRDefault="00A91062">
      <w:bookmarkStart w:id="0" w:name="_GoBack"/>
      <w:bookmarkEnd w:id="0"/>
    </w:p>
    <w:sectPr w:rsidR="00A9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62"/>
    <w:rsid w:val="00744F00"/>
    <w:rsid w:val="00A91062"/>
    <w:rsid w:val="00FA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274B4-3CEC-485D-91CB-96A4E4AB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F0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2020-11-09T11:47:00Z</dcterms:created>
  <dcterms:modified xsi:type="dcterms:W3CDTF">2020-11-09T12:42:00Z</dcterms:modified>
</cp:coreProperties>
</file>