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6F" w:rsidRDefault="0006176F" w:rsidP="000617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>Практическая работа</w:t>
      </w:r>
      <w:r w:rsidR="001515AF">
        <w:rPr>
          <w:rStyle w:val="fontstyle01"/>
          <w:rFonts w:ascii="Times New Roman" w:hAnsi="Times New Roman" w:cs="Times New Roman"/>
          <w:sz w:val="24"/>
          <w:szCs w:val="24"/>
        </w:rPr>
        <w:t xml:space="preserve"> № 1</w:t>
      </w: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>: Метод комплексной оценки уровня качества</w:t>
      </w:r>
    </w:p>
    <w:p w:rsidR="001515AF" w:rsidRPr="001515AF" w:rsidRDefault="001515AF" w:rsidP="000617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1515AF">
        <w:rPr>
          <w:rStyle w:val="fontstyle01"/>
          <w:rFonts w:ascii="Times New Roman" w:hAnsi="Times New Roman" w:cs="Times New Roman"/>
          <w:i/>
          <w:sz w:val="24"/>
          <w:szCs w:val="24"/>
        </w:rPr>
        <w:t>(</w:t>
      </w:r>
      <w:r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расчетная </w:t>
      </w:r>
      <w:bookmarkStart w:id="0" w:name="_GoBack"/>
      <w:bookmarkEnd w:id="0"/>
      <w:r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практическая работа </w:t>
      </w:r>
      <w:r w:rsidRPr="001515AF">
        <w:rPr>
          <w:rStyle w:val="fontstyle01"/>
          <w:rFonts w:ascii="Times New Roman" w:hAnsi="Times New Roman" w:cs="Times New Roman"/>
          <w:i/>
          <w:sz w:val="24"/>
          <w:szCs w:val="24"/>
        </w:rPr>
        <w:t>на два занятия</w:t>
      </w:r>
      <w:r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за 08.02 и 15.02</w:t>
      </w:r>
      <w:r w:rsidRPr="001515AF">
        <w:rPr>
          <w:rStyle w:val="fontstyle01"/>
          <w:rFonts w:ascii="Times New Roman" w:hAnsi="Times New Roman" w:cs="Times New Roman"/>
          <w:i/>
          <w:sz w:val="24"/>
          <w:szCs w:val="24"/>
        </w:rPr>
        <w:t>)</w:t>
      </w:r>
    </w:p>
    <w:p w:rsidR="0006176F" w:rsidRDefault="0006176F" w:rsidP="0006176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 xml:space="preserve">Цель работы: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изучить метод комплексной оценки, научиться определять уровень качества по комплексному показателю, средневзвешенный арифметический показатель; средневзвешенный геометрический показатель; средневзвешенный гармонический показатель.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>Краткие теоретические сведения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Комплексная оценка уровня качества предусматривает использование комплексных показателей совокупностей свойств.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Этот метод применяют в тех случаях, когда надо наиболее точно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оценивать качество сложных изделий.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Необходимость «свертки» всех отдельных показателей качеств с целью получения одного комплексного показателя определяется практической целесообразностью.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Комплексный показатель совокупности свойств </w:t>
      </w: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 xml:space="preserve">Р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зависит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от «взвешенных» параметров учитываемых свойств </w:t>
      </w:r>
      <w:proofErr w:type="spell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q</w:t>
      </w:r>
      <w:r w:rsidRPr="006C1151">
        <w:rPr>
          <w:rStyle w:val="fontstyle21"/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, т.е. от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показателей отдельных свойств с учетом их весомости, значимости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для </w:t>
      </w: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>Р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. Следовательно</w:t>
      </w:r>
    </w:p>
    <w:p w:rsidR="0006176F" w:rsidRDefault="0006176F" w:rsidP="0006176F">
      <w:pPr>
        <w:spacing w:after="0" w:line="240" w:lineRule="auto"/>
        <w:ind w:firstLine="708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P=</w:t>
      </w:r>
      <w:r>
        <w:rPr>
          <w:rStyle w:val="fontstyle31"/>
          <w:rFonts w:ascii="Times New Roman" w:hAnsi="Times New Roman" w:cs="Times New Roman"/>
          <w:sz w:val="24"/>
          <w:szCs w:val="24"/>
        </w:rPr>
        <w:t>f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(</w:t>
      </w:r>
      <w:proofErr w:type="spell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q</w:t>
      </w:r>
      <w:r w:rsidRPr="006C1151">
        <w:rPr>
          <w:rStyle w:val="fontstyle21"/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) ,</w:t>
      </w:r>
      <w:proofErr w:type="gramEnd"/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q</w:t>
      </w:r>
      <w:r w:rsidRPr="006C1151">
        <w:rPr>
          <w:rStyle w:val="fontstyle21"/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 – величина характеризующая размер </w:t>
      </w: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 xml:space="preserve">i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 xml:space="preserve">-го свойства с учетом его значимости; 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 xml:space="preserve">i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=1,</w:t>
      </w:r>
      <w:proofErr w:type="gramStart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2,3,…</w:t>
      </w:r>
      <w:proofErr w:type="gramEnd"/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,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>n</w:t>
      </w:r>
      <w:r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C1151">
        <w:rPr>
          <w:rStyle w:val="fontstyle31"/>
          <w:rFonts w:ascii="Times New Roman" w:hAnsi="Times New Roman" w:cs="Times New Roman"/>
          <w:sz w:val="24"/>
          <w:szCs w:val="24"/>
        </w:rPr>
        <w:t xml:space="preserve">n 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– общее число учитываемых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свойств</w:t>
      </w: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Style w:val="fontstyle21"/>
          <w:rFonts w:ascii="Times New Roman" w:hAnsi="Times New Roman" w:cs="Times New Roman"/>
          <w:sz w:val="24"/>
          <w:szCs w:val="24"/>
        </w:rPr>
        <w:t>Уровень качества продукции, определяемый по комплексному методу, - это отношение комплексного показателя совокуп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свойств оцениваемого образца (</w:t>
      </w:r>
      <w:proofErr w:type="spellStart"/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оц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>) к соответствующему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показателю базового образца (</w:t>
      </w:r>
      <w:proofErr w:type="spellStart"/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баз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>), т.е.</w:t>
      </w:r>
    </w:p>
    <w:p w:rsidR="0006176F" w:rsidRDefault="0006176F" w:rsidP="000617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к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оц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баз</m:t>
                </m:r>
              </m:sub>
            </m:sSub>
          </m:den>
        </m:f>
      </m:oMath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06176F" w:rsidRPr="005F46D7" w:rsidRDefault="0006176F" w:rsidP="0006176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Комплексный показатель совокупности различных свойств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должен учесть значимость каждого из них, т.е. учесть степень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влияния величин отдельных свойств на итоговый показатель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br/>
        <w:t>(уровень) качества.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>Количественная характеристика значимости данного показателя среди других показателей является коэффициентом весомости.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При нахождении значения комплексного показателя совокупности характеристик свойств необходимо величину параметра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каждого из множества свойств «взвесить», т.е. умножить на соответствующий коэффициент весомости.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>При дифференциальном методе в сочетании с комплексным определяются значение относительных показателей 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показателей качества по формуле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гр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:rsidR="0006176F" w:rsidRPr="005F46D7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F46D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– коэффициент весомости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-го единичного свойства</w:t>
      </w:r>
      <w:r w:rsidRPr="005F4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(показателя); </w:t>
      </w:r>
    </w:p>
    <w:p w:rsidR="0006176F" w:rsidRPr="00D45746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Pr="005F46D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– относительное значение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-го показателя качества изделий, </w:t>
      </w:r>
    </w:p>
    <w:p w:rsidR="0006176F" w:rsidRPr="005F46D7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– количество единичных показателей в данной</w:t>
      </w:r>
      <w:r w:rsidRPr="005F4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группе показателей.</w:t>
      </w:r>
    </w:p>
    <w:p w:rsidR="0006176F" w:rsidRPr="005F46D7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Относительное значение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-го показателя качества определяется по формулам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iоц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iбаз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iбаз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iоц</m:t>
                </m:r>
              </m:sub>
            </m:sSub>
          </m:den>
        </m:f>
      </m:oMath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F46D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оц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– значение i-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 качества оцениваемого образца;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F46D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iбаз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- значение i-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 качества базового образца.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Из приведенных формул выбирают ту, при которой увеличению относительного </w:t>
      </w:r>
      <w:proofErr w:type="gram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отвечает</w:t>
      </w:r>
      <w:proofErr w:type="gram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улучшение качества оцениваемого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изделия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обобщенного показателя качества оцениваемого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вычисляется по формуле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176F" w:rsidRDefault="0006176F" w:rsidP="0006176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об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iг</m:t>
                  </m:r>
                </m:sub>
              </m:sSub>
            </m:e>
          </m:nary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br/>
          </m:r>
        </m:oMath>
      </m:oMathPara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</w:t>
      </w:r>
      <w:r w:rsidRPr="005F46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6C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значение коэффициента весомости </w:t>
      </w:r>
      <w:r w:rsidRPr="006C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i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-ой группы показателей;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N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количество групп показателей качества, по которым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оценка технического уровня и качества продукции.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расчетах по этим формулам устанавливается, что сумма коэффициентов весомости единичных показателей качества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группы показателей должна равняться единице, а сумма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коэффициентов весомости групп показателей качества, по которым производится оценка,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равняется единице.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комплексном методе оценивания определяют так называемые средневзвешенные значения совокупностей всех учитываемых свойств.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Pr="0010658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гармоническое взвешенное применяется, когда более значительный, разброс между слагаемыми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Р</m:t>
              </m:r>
            </m:e>
          </m:acc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i</m:t>
                          </m:r>
                        </m:sub>
                      </m:sSub>
                    </m:den>
                  </m:f>
                </m:e>
              </m:nary>
            </m:den>
          </m:f>
        </m:oMath>
      </m:oMathPara>
    </w:p>
    <w:p w:rsidR="0006176F" w:rsidRPr="00D45746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Среднее </w:t>
      </w:r>
      <w:proofErr w:type="spellStart"/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квадратическое</w:t>
      </w:r>
      <w:proofErr w:type="spellEnd"/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взвешенное используется в методе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наименьших квадратов и широко применяется в квалиметрии: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Pr="0010658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P=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*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bSup>
            </m:e>
          </m:nary>
        </m:oMath>
      </m:oMathPara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геометрическое взвешенное наиболее универсальный и распространенный способ выражения комплексного показателя качества. Он применяется при объединении неоднородных</w:t>
      </w:r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показателей качества, в том числе разнородной продукции, соответствующих разным условиям её применения и имеющих значительный разброс. Математическое выражение среднего имеет 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176F" w:rsidRPr="0010658F" w:rsidRDefault="0006176F" w:rsidP="00061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acc>
          <m:accPr>
            <m:chr m:val="̿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P</m:t>
            </m:r>
          </m:e>
        </m:acc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nary>
          <m:naryPr>
            <m:chr m:val="∏"/>
            <m:limLoc m:val="undOvr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i</m:t>
                </m:r>
              </m:sub>
              <m:sup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</m:sup>
            </m:sSubSup>
          </m:e>
        </m:nary>
      </m:oMath>
      <w:r w:rsidRPr="006C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>Из представленных выражений следует, что при расчете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br/>
        <w:t>комплексного показателя наиболее важной является задача опреде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коэффициентов весомости (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), значения показателей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качества ( </w:t>
      </w:r>
      <w:r w:rsidRPr="006C11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) устанавливаются лабораторными, органолептическими и другими методами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6D7">
        <w:rPr>
          <w:rFonts w:ascii="Times New Roman" w:hAnsi="Times New Roman" w:cs="Times New Roman"/>
          <w:b/>
          <w:color w:val="000000"/>
          <w:sz w:val="24"/>
          <w:szCs w:val="24"/>
        </w:rPr>
        <w:t>Рассчитать: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средневзвешенное арифметическое;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среднее гармоническое;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среднее </w:t>
      </w:r>
      <w:proofErr w:type="spellStart"/>
      <w:r w:rsidRPr="006C1151">
        <w:rPr>
          <w:rFonts w:ascii="Times New Roman" w:hAnsi="Times New Roman" w:cs="Times New Roman"/>
          <w:color w:val="000000"/>
          <w:sz w:val="24"/>
          <w:szCs w:val="24"/>
        </w:rPr>
        <w:t>квадратическое</w:t>
      </w:r>
      <w:proofErr w:type="spellEnd"/>
      <w:r w:rsidRPr="006C1151">
        <w:rPr>
          <w:rFonts w:ascii="Times New Roman" w:hAnsi="Times New Roman" w:cs="Times New Roman"/>
          <w:color w:val="000000"/>
          <w:sz w:val="24"/>
          <w:szCs w:val="24"/>
        </w:rPr>
        <w:t xml:space="preserve"> взвешенное; </w:t>
      </w:r>
    </w:p>
    <w:p w:rsidR="0006176F" w:rsidRDefault="0006176F" w:rsidP="000617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среднее геометрическое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151">
        <w:rPr>
          <w:rFonts w:ascii="Times New Roman" w:hAnsi="Times New Roman" w:cs="Times New Roman"/>
          <w:color w:val="000000"/>
          <w:sz w:val="24"/>
          <w:szCs w:val="24"/>
        </w:rPr>
        <w:t>взвешенное.</w:t>
      </w:r>
      <w:r w:rsidRPr="006C115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06176F" w:rsidRPr="00D45746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151">
        <w:rPr>
          <w:rFonts w:ascii="Times New Roman" w:hAnsi="Times New Roman" w:cs="Times New Roman"/>
          <w:color w:val="000000"/>
          <w:sz w:val="24"/>
          <w:szCs w:val="24"/>
        </w:rPr>
        <w:t>Проанализировать полученные данные, и сформулировать выводы по работе.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Исходные данные к работе приведены в таблице 1.</w:t>
      </w: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6176F" w:rsidSect="006C1151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0617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Таблица 1 - </w:t>
      </w:r>
    </w:p>
    <w:p w:rsidR="0006176F" w:rsidRPr="007A48BC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8B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Исходные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798"/>
        <w:gridCol w:w="799"/>
        <w:gridCol w:w="799"/>
        <w:gridCol w:w="799"/>
        <w:gridCol w:w="799"/>
        <w:gridCol w:w="799"/>
        <w:gridCol w:w="799"/>
        <w:gridCol w:w="799"/>
        <w:gridCol w:w="799"/>
        <w:gridCol w:w="882"/>
        <w:gridCol w:w="1418"/>
        <w:gridCol w:w="1369"/>
        <w:gridCol w:w="1294"/>
      </w:tblGrid>
      <w:tr w:rsidR="0006176F" w:rsidTr="00246707">
        <w:tc>
          <w:tcPr>
            <w:tcW w:w="2407" w:type="dxa"/>
            <w:vMerge w:val="restart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  <w:tc>
          <w:tcPr>
            <w:tcW w:w="9432" w:type="dxa"/>
            <w:gridSpan w:val="10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  <w:tc>
          <w:tcPr>
            <w:tcW w:w="1418" w:type="dxa"/>
            <w:vMerge w:val="restart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единичного базового показателя качества</w:t>
            </w:r>
          </w:p>
        </w:tc>
        <w:tc>
          <w:tcPr>
            <w:tcW w:w="2663" w:type="dxa"/>
            <w:gridSpan w:val="2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Коэффициента весомости</w:t>
            </w:r>
          </w:p>
        </w:tc>
      </w:tr>
      <w:tr w:rsidR="0006176F" w:rsidTr="00246707">
        <w:tc>
          <w:tcPr>
            <w:tcW w:w="2407" w:type="dxa"/>
            <w:vMerge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единичный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DF3EF8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F8">
              <w:rPr>
                <w:rFonts w:ascii="Times New Roman" w:hAnsi="Times New Roman" w:cs="Times New Roman"/>
                <w:b/>
                <w:sz w:val="24"/>
                <w:szCs w:val="24"/>
              </w:rPr>
              <w:t>1 группа: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3EF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назначения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Производительность, т/ч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Масса, кг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Габаритные размеры, - длина, мм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– ширина, мм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Частота вращения, об/мин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Установленная мощность двигателя, кВт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DF3EF8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F8">
              <w:rPr>
                <w:rFonts w:ascii="Times New Roman" w:hAnsi="Times New Roman" w:cs="Times New Roman"/>
                <w:b/>
                <w:sz w:val="24"/>
                <w:szCs w:val="24"/>
              </w:rPr>
              <w:t>2 группа: Показатели надежности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Срок службы до капитального ремонта, мес.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Коэффициент готовности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Средняя продолжительность ремонта, дни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DF3EF8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F8">
              <w:rPr>
                <w:rFonts w:ascii="Times New Roman" w:hAnsi="Times New Roman" w:cs="Times New Roman"/>
                <w:b/>
                <w:sz w:val="24"/>
                <w:szCs w:val="24"/>
              </w:rPr>
              <w:t>3 группа: Показатели экономичного расхода сырья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Коэффициент полезного действия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584E5E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5E">
              <w:rPr>
                <w:rFonts w:ascii="Times New Roman" w:hAnsi="Times New Roman" w:cs="Times New Roman"/>
                <w:b/>
                <w:sz w:val="24"/>
                <w:szCs w:val="24"/>
              </w:rPr>
              <w:t>4 группа: Эргономические показатели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 рабочая зона, балл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количество и скорость движений, балл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584E5E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5E">
              <w:rPr>
                <w:rFonts w:ascii="Times New Roman" w:hAnsi="Times New Roman" w:cs="Times New Roman"/>
                <w:b/>
                <w:sz w:val="24"/>
                <w:szCs w:val="24"/>
              </w:rPr>
              <w:t>5 группа: Показатели безопасности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коэффициент безопасности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584E5E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5E">
              <w:rPr>
                <w:rFonts w:ascii="Times New Roman" w:hAnsi="Times New Roman" w:cs="Times New Roman"/>
                <w:b/>
                <w:sz w:val="24"/>
                <w:szCs w:val="24"/>
              </w:rPr>
              <w:t>6 группа: Эстетические показатели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 информационная выразительность, балл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 комфортность, балл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14626" w:type="dxa"/>
            <w:gridSpan w:val="13"/>
          </w:tcPr>
          <w:p w:rsidR="0006176F" w:rsidRPr="00584E5E" w:rsidRDefault="0006176F" w:rsidP="0024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5E">
              <w:rPr>
                <w:rFonts w:ascii="Times New Roman" w:hAnsi="Times New Roman" w:cs="Times New Roman"/>
                <w:b/>
                <w:sz w:val="24"/>
                <w:szCs w:val="24"/>
              </w:rPr>
              <w:t>7 группа: Показатели стандартизации и унификации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 коэффициент применяемости, %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Tr="00246707">
        <w:tc>
          <w:tcPr>
            <w:tcW w:w="2407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 коэффициент повторяемости, %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10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69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4" w:type="dxa"/>
          </w:tcPr>
          <w:p w:rsidR="0006176F" w:rsidRDefault="0006176F" w:rsidP="00246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06176F" w:rsidSect="0006176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6F" w:rsidRDefault="0006176F" w:rsidP="00061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2993" w:rsidRDefault="00712993"/>
    <w:sectPr w:rsidR="0071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6F"/>
    <w:rsid w:val="0006176F"/>
    <w:rsid w:val="001515AF"/>
    <w:rsid w:val="00712993"/>
    <w:rsid w:val="009656BF"/>
    <w:rsid w:val="00E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2E44"/>
  <w15:chartTrackingRefBased/>
  <w15:docId w15:val="{F82A2E64-C1EB-4135-852D-18BE96F6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617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617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06176F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table" w:styleId="a3">
    <w:name w:val="Table Grid"/>
    <w:basedOn w:val="a1"/>
    <w:uiPriority w:val="59"/>
    <w:rsid w:val="0006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56B9-3A81-4BAD-9AF0-E0E9EA67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2022-02-15T08:39:00Z</dcterms:created>
  <dcterms:modified xsi:type="dcterms:W3CDTF">2022-02-15T08:44:00Z</dcterms:modified>
</cp:coreProperties>
</file>