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C0" w:rsidRDefault="003D7EC0" w:rsidP="00DF173A">
      <w:pPr>
        <w:jc w:val="both"/>
      </w:pPr>
      <w:r>
        <w:t>Задание: ознакомится с материалами лекции</w:t>
      </w:r>
    </w:p>
    <w:p w:rsidR="003D7EC0" w:rsidRDefault="003D7EC0" w:rsidP="00DF173A">
      <w:pPr>
        <w:jc w:val="both"/>
      </w:pPr>
    </w:p>
    <w:p w:rsidR="00F538B5" w:rsidRPr="00F538B5" w:rsidRDefault="00F538B5" w:rsidP="00F538B5">
      <w:pPr>
        <w:spacing w:before="100" w:beforeAutospacing="1" w:after="100" w:afterAutospacing="1"/>
        <w:jc w:val="both"/>
        <w:rPr>
          <w:rFonts w:cs="Times New Roman"/>
          <w:b/>
          <w:color w:val="000000"/>
          <w:sz w:val="28"/>
          <w:szCs w:val="20"/>
        </w:rPr>
      </w:pPr>
      <w:r w:rsidRPr="00F538B5">
        <w:rPr>
          <w:rFonts w:cs="Times New Roman"/>
          <w:b/>
          <w:color w:val="000000"/>
          <w:sz w:val="28"/>
          <w:szCs w:val="20"/>
        </w:rPr>
        <w:t xml:space="preserve">Token Ring </w:t>
      </w:r>
    </w:p>
    <w:p w:rsidR="00F538B5" w:rsidRPr="004A5466" w:rsidRDefault="00F538B5" w:rsidP="00F538B5">
      <w:pPr>
        <w:spacing w:before="100" w:beforeAutospacing="1" w:after="100" w:afterAutospacing="1"/>
        <w:jc w:val="both"/>
        <w:rPr>
          <w:rFonts w:cs="Times New Roman"/>
          <w:color w:val="000000"/>
          <w:sz w:val="20"/>
          <w:szCs w:val="20"/>
        </w:rPr>
      </w:pPr>
      <w:r w:rsidRPr="00A8636E">
        <w:rPr>
          <w:rFonts w:cs="Times New Roman"/>
          <w:color w:val="000000"/>
          <w:sz w:val="20"/>
          <w:szCs w:val="20"/>
        </w:rPr>
        <w:t xml:space="preserve">Сеть Token Ring первоначально была разработана компанией IBM в 1970 гг. Она по-прежнему является основной технологией IBM для локальных сетей (LAN) , уступая по популярности среди технологий LAN только Ethernet/IEEE 802.3 </w:t>
      </w:r>
    </w:p>
    <w:p w:rsidR="00F538B5" w:rsidRPr="00A8636E" w:rsidRDefault="00F538B5" w:rsidP="00F538B5">
      <w:pPr>
        <w:spacing w:before="100" w:beforeAutospacing="1" w:after="100" w:afterAutospacing="1"/>
        <w:jc w:val="both"/>
        <w:outlineLvl w:val="3"/>
        <w:rPr>
          <w:rFonts w:cs="Times New Roman"/>
          <w:b/>
          <w:bCs/>
          <w:color w:val="000000"/>
          <w:sz w:val="20"/>
          <w:szCs w:val="20"/>
        </w:rPr>
      </w:pPr>
      <w:bookmarkStart w:id="0" w:name="6.3"/>
      <w:r w:rsidRPr="00A8636E">
        <w:rPr>
          <w:rFonts w:cs="Times New Roman"/>
          <w:b/>
          <w:bCs/>
          <w:color w:val="000000"/>
          <w:sz w:val="20"/>
          <w:szCs w:val="20"/>
        </w:rPr>
        <w:t>Передача маркера</w:t>
      </w:r>
      <w:bookmarkEnd w:id="0"/>
      <w:r w:rsidRPr="00A8636E">
        <w:rPr>
          <w:rFonts w:cs="Times New Roman"/>
          <w:b/>
          <w:bCs/>
          <w:color w:val="000000"/>
          <w:sz w:val="20"/>
          <w:szCs w:val="20"/>
        </w:rPr>
        <w:t xml:space="preserve"> </w:t>
      </w:r>
    </w:p>
    <w:p w:rsidR="00F538B5" w:rsidRPr="00A8636E" w:rsidRDefault="00F538B5" w:rsidP="00F538B5">
      <w:pPr>
        <w:spacing w:before="100" w:beforeAutospacing="1" w:after="100" w:afterAutospacing="1"/>
        <w:jc w:val="both"/>
        <w:rPr>
          <w:rFonts w:cs="Times New Roman"/>
          <w:color w:val="000000"/>
          <w:sz w:val="20"/>
          <w:szCs w:val="20"/>
        </w:rPr>
      </w:pPr>
      <w:r w:rsidRPr="00A8636E">
        <w:rPr>
          <w:rFonts w:cs="Times New Roman"/>
          <w:color w:val="000000"/>
          <w:sz w:val="20"/>
          <w:szCs w:val="20"/>
        </w:rPr>
        <w:t>Token Ring и IEEE 802.5 являются главными примерами сетей с передачей маркера. Сети с передачей маркера перемещают вдоль сети небольшой блок данных, н</w:t>
      </w:r>
      <w:bookmarkStart w:id="1" w:name="_GoBack"/>
      <w:bookmarkEnd w:id="1"/>
      <w:r w:rsidRPr="00A8636E">
        <w:rPr>
          <w:rFonts w:cs="Times New Roman"/>
          <w:color w:val="000000"/>
          <w:sz w:val="20"/>
          <w:szCs w:val="20"/>
        </w:rPr>
        <w:t xml:space="preserve">азываемый маркером. Владение этим маркером гарантирует право передачи. Если узел, принимающий маркер, не имеет информации для отправки, он просто переправляет маркер к следующей конечной станции. Каждая станция может удерживать маркер в течение определенного максимального времени. </w:t>
      </w:r>
    </w:p>
    <w:p w:rsidR="00F538B5" w:rsidRPr="00A8636E" w:rsidRDefault="00F538B5" w:rsidP="00F538B5">
      <w:pPr>
        <w:spacing w:before="100" w:beforeAutospacing="1" w:after="100" w:afterAutospacing="1"/>
        <w:jc w:val="both"/>
        <w:rPr>
          <w:rFonts w:cs="Times New Roman"/>
          <w:color w:val="000000"/>
          <w:sz w:val="20"/>
          <w:szCs w:val="20"/>
        </w:rPr>
      </w:pPr>
      <w:r w:rsidRPr="00A8636E">
        <w:rPr>
          <w:rFonts w:cs="Times New Roman"/>
          <w:color w:val="000000"/>
          <w:sz w:val="20"/>
          <w:szCs w:val="20"/>
        </w:rPr>
        <w:t xml:space="preserve">Если у станции, владеющей маркером, имеется информации для передачи, она захватывает маркер, изменяет у него один бит (в результате чего маркер превращается в последовательность "начало блока данных"), дополняет информацией, которую он хочет передать и, наконец, отсылает эту информацию к следующей станции кольцевой сети. Когда информационный блок циркулирует по кольцу, маркер в сети отсутствует (если только кольцо не обеспечивает "раннего освобождения маркера" - </w:t>
      </w:r>
      <w:r w:rsidRPr="00A8636E">
        <w:rPr>
          <w:rFonts w:cs="Times New Roman"/>
          <w:i/>
          <w:iCs/>
          <w:color w:val="000000"/>
          <w:sz w:val="20"/>
          <w:szCs w:val="20"/>
        </w:rPr>
        <w:t>early token release</w:t>
      </w:r>
      <w:r w:rsidRPr="00A8636E">
        <w:rPr>
          <w:rFonts w:cs="Times New Roman"/>
          <w:color w:val="000000"/>
          <w:sz w:val="20"/>
          <w:szCs w:val="20"/>
        </w:rPr>
        <w:t xml:space="preserve">), поэтому другие станции, желающие передать информацию, вынуждены ожидать. Следовательно, в сетях Token Ring не может быть коллизий. Если обеспечивается раннее высвобождение маркера, то новый маркер может быть выпущен после завершения передачи блока данных. </w:t>
      </w:r>
    </w:p>
    <w:p w:rsidR="00F538B5" w:rsidRPr="00A8636E" w:rsidRDefault="00F538B5" w:rsidP="00F538B5">
      <w:pPr>
        <w:spacing w:before="100" w:beforeAutospacing="1" w:after="100" w:afterAutospacing="1"/>
        <w:jc w:val="both"/>
        <w:rPr>
          <w:rFonts w:cs="Times New Roman"/>
          <w:color w:val="000000"/>
          <w:sz w:val="20"/>
          <w:szCs w:val="20"/>
        </w:rPr>
      </w:pPr>
      <w:r w:rsidRPr="00A8636E">
        <w:rPr>
          <w:rFonts w:cs="Times New Roman"/>
          <w:color w:val="000000"/>
          <w:sz w:val="20"/>
          <w:szCs w:val="20"/>
        </w:rPr>
        <w:t xml:space="preserve">Информационный блок циркулирует по кольцу, пока не достигнет предполагаемой станции назначения, которая копирует информацию для дальнейшей обработки. Информационный блок продолжает циркулировать по кольцу; он окончательно удаляется после достижения станции, отославшей этот блок. Станция отправки может проверить вернувшийся блок, чтобы убедиться, что он был просмотрен и затем скопирован станцией назначения. </w:t>
      </w:r>
    </w:p>
    <w:p w:rsidR="00F538B5" w:rsidRPr="00A8636E" w:rsidRDefault="00F538B5" w:rsidP="00F538B5">
      <w:pPr>
        <w:spacing w:before="100" w:beforeAutospacing="1" w:after="100" w:afterAutospacing="1"/>
        <w:jc w:val="both"/>
        <w:rPr>
          <w:rFonts w:cs="Times New Roman"/>
          <w:color w:val="000000"/>
          <w:sz w:val="20"/>
          <w:szCs w:val="20"/>
        </w:rPr>
      </w:pPr>
      <w:r w:rsidRPr="00A8636E">
        <w:rPr>
          <w:rFonts w:cs="Times New Roman"/>
          <w:color w:val="000000"/>
          <w:sz w:val="20"/>
          <w:szCs w:val="20"/>
        </w:rPr>
        <w:t xml:space="preserve">В отличие от сетей CSMA/CD (например, Ethernet) сети с передачей маркера являются детерминистическими сетями. Это означает, что можно вычислить максимальное время, которое пройдет, прежде чем любая конечная станция сможет передавать. Эта характеристика, а также некоторые характеристики надежности, которые будут рассмотрены дальше, делают сеть Token Ring идеальной для применений, где задержка должна быть предсказуема и важна устойчивость функционирования сети. Примерами таких применений является среда автоматизированных станций на заводах. </w:t>
      </w:r>
    </w:p>
    <w:p w:rsidR="00F538B5" w:rsidRPr="00A8636E" w:rsidRDefault="00F538B5" w:rsidP="00F538B5">
      <w:pPr>
        <w:spacing w:before="100" w:beforeAutospacing="1" w:after="100" w:afterAutospacing="1"/>
        <w:jc w:val="both"/>
        <w:outlineLvl w:val="3"/>
        <w:rPr>
          <w:rFonts w:cs="Times New Roman"/>
          <w:b/>
          <w:bCs/>
          <w:color w:val="000000"/>
          <w:sz w:val="20"/>
          <w:szCs w:val="20"/>
        </w:rPr>
      </w:pPr>
      <w:bookmarkStart w:id="2" w:name="6.5"/>
      <w:r w:rsidRPr="00A8636E">
        <w:rPr>
          <w:rFonts w:cs="Times New Roman"/>
          <w:b/>
          <w:bCs/>
          <w:color w:val="000000"/>
          <w:sz w:val="20"/>
          <w:szCs w:val="20"/>
        </w:rPr>
        <w:t>Система приоритетов</w:t>
      </w:r>
      <w:bookmarkEnd w:id="2"/>
      <w:r w:rsidRPr="00A8636E">
        <w:rPr>
          <w:rFonts w:cs="Times New Roman"/>
          <w:b/>
          <w:bCs/>
          <w:color w:val="000000"/>
          <w:sz w:val="20"/>
          <w:szCs w:val="20"/>
        </w:rPr>
        <w:t xml:space="preserve"> </w:t>
      </w:r>
    </w:p>
    <w:p w:rsidR="00F538B5" w:rsidRPr="00A8636E" w:rsidRDefault="00F538B5" w:rsidP="00F538B5">
      <w:pPr>
        <w:spacing w:before="100" w:beforeAutospacing="1" w:after="100" w:afterAutospacing="1"/>
        <w:jc w:val="both"/>
        <w:rPr>
          <w:rFonts w:cs="Times New Roman"/>
          <w:color w:val="000000"/>
          <w:sz w:val="20"/>
          <w:szCs w:val="20"/>
        </w:rPr>
      </w:pPr>
      <w:r w:rsidRPr="00A8636E">
        <w:rPr>
          <w:rFonts w:cs="Times New Roman"/>
          <w:color w:val="000000"/>
          <w:sz w:val="20"/>
          <w:szCs w:val="20"/>
        </w:rPr>
        <w:t xml:space="preserve">Сети Тоkеn Ring используют сложную систему приоритетов, которая позволяет некоторым станциям с высоким приоритетом, назначенным пользователем, более часто пользоваться сетью. Блоки данных Token Ring содержат два поля, которые управляют приоритетом: поле приоритетов и поле резервирования. </w:t>
      </w:r>
    </w:p>
    <w:p w:rsidR="00F538B5" w:rsidRPr="00A8636E" w:rsidRDefault="00F538B5" w:rsidP="00F538B5">
      <w:pPr>
        <w:spacing w:before="100" w:beforeAutospacing="1" w:after="100" w:afterAutospacing="1"/>
        <w:jc w:val="both"/>
        <w:rPr>
          <w:rFonts w:cs="Times New Roman"/>
          <w:color w:val="000000"/>
          <w:sz w:val="20"/>
          <w:szCs w:val="20"/>
        </w:rPr>
      </w:pPr>
      <w:r w:rsidRPr="00A8636E">
        <w:rPr>
          <w:rFonts w:cs="Times New Roman"/>
          <w:color w:val="000000"/>
          <w:sz w:val="20"/>
          <w:szCs w:val="20"/>
        </w:rPr>
        <w:t xml:space="preserve">Только станции с приоритетом, который равен или выше величины приоритета, содержащейся в маркере, могут завладеть им. После того, как маркер захвачен и изменен( в результате чего он превратился в информационный блок), только станции, приоритет которых выше приоритета передающей станции, могут зарезервировать маркер для следующего прохода по сети. При генерации следующего маркера в него включается более высокий приоритет данной резервирующей станции. Станции, которые повышают </w:t>
      </w:r>
      <w:r w:rsidRPr="00A8636E">
        <w:rPr>
          <w:rFonts w:cs="Times New Roman"/>
          <w:color w:val="000000"/>
          <w:sz w:val="20"/>
          <w:szCs w:val="20"/>
        </w:rPr>
        <w:lastRenderedPageBreak/>
        <w:t xml:space="preserve">уровень приоритета маркера, должны восстановить предыдущий уровень приоритета после завершения передачи. </w:t>
      </w:r>
    </w:p>
    <w:p w:rsidR="00F538B5" w:rsidRPr="00A8636E" w:rsidRDefault="00F538B5" w:rsidP="00F538B5">
      <w:pPr>
        <w:spacing w:before="100" w:beforeAutospacing="1" w:after="100" w:afterAutospacing="1"/>
        <w:jc w:val="both"/>
        <w:outlineLvl w:val="3"/>
        <w:rPr>
          <w:rFonts w:cs="Times New Roman"/>
          <w:b/>
          <w:bCs/>
          <w:color w:val="000000"/>
          <w:sz w:val="20"/>
          <w:szCs w:val="20"/>
        </w:rPr>
      </w:pPr>
      <w:bookmarkStart w:id="3" w:name="6.6"/>
      <w:r w:rsidRPr="00A8636E">
        <w:rPr>
          <w:rFonts w:cs="Times New Roman"/>
          <w:b/>
          <w:bCs/>
          <w:color w:val="000000"/>
          <w:sz w:val="20"/>
          <w:szCs w:val="20"/>
        </w:rPr>
        <w:t xml:space="preserve">Механизмы управления </w:t>
      </w:r>
      <w:bookmarkEnd w:id="3"/>
      <w:r w:rsidRPr="00A8636E">
        <w:rPr>
          <w:rFonts w:cs="Times New Roman"/>
          <w:b/>
          <w:bCs/>
          <w:color w:val="000000"/>
          <w:sz w:val="20"/>
          <w:szCs w:val="20"/>
        </w:rPr>
        <w:t xml:space="preserve">неисправностями </w:t>
      </w:r>
    </w:p>
    <w:p w:rsidR="00F538B5" w:rsidRPr="00A8636E" w:rsidRDefault="00F538B5" w:rsidP="00F538B5">
      <w:pPr>
        <w:spacing w:before="100" w:beforeAutospacing="1" w:after="100" w:afterAutospacing="1"/>
        <w:jc w:val="both"/>
        <w:rPr>
          <w:rFonts w:cs="Times New Roman"/>
          <w:color w:val="000000"/>
          <w:sz w:val="20"/>
          <w:szCs w:val="20"/>
        </w:rPr>
      </w:pPr>
      <w:r w:rsidRPr="00A8636E">
        <w:rPr>
          <w:rFonts w:cs="Times New Roman"/>
          <w:color w:val="000000"/>
          <w:sz w:val="20"/>
          <w:szCs w:val="20"/>
        </w:rPr>
        <w:t>Сети Token Ring используют несколько механизмов обнаружения и компенсации неисправностей в сети. Например, одна станция в сети Token Ring выбирается "активным монитором" (</w:t>
      </w:r>
      <w:r w:rsidRPr="00A8636E">
        <w:rPr>
          <w:rFonts w:cs="Times New Roman"/>
          <w:i/>
          <w:iCs/>
          <w:color w:val="000000"/>
          <w:sz w:val="20"/>
          <w:szCs w:val="20"/>
        </w:rPr>
        <w:t>active monitor</w:t>
      </w:r>
      <w:r w:rsidRPr="00A8636E">
        <w:rPr>
          <w:rFonts w:cs="Times New Roman"/>
          <w:color w:val="000000"/>
          <w:sz w:val="20"/>
          <w:szCs w:val="20"/>
        </w:rPr>
        <w:t xml:space="preserve">). Эта станция, которой в принципе может быть любая станция сети, действует как централизованный источник синхронизирующей информации для других станций кольца и выполняет разнообразные функции для поддержания кольца. Одной из таких функций является удаление из кольца постоянно циркулирующих блоков данных. Если устройство, отправившее блок данных, отказало, то этот блок может постоянно циркулировать по кольцу. Это может помешать другим станциям передавать собственные блоки данных и фактически блокирует сеть. Активный монитор может выявлять и удалять такие блоки и генерировать новый маркер. </w:t>
      </w:r>
    </w:p>
    <w:p w:rsidR="00F538B5" w:rsidRPr="00A8636E" w:rsidRDefault="00F538B5" w:rsidP="00F538B5">
      <w:pPr>
        <w:spacing w:before="100" w:beforeAutospacing="1" w:after="100" w:afterAutospacing="1"/>
        <w:jc w:val="both"/>
        <w:rPr>
          <w:rFonts w:cs="Times New Roman"/>
          <w:color w:val="000000"/>
          <w:sz w:val="20"/>
          <w:szCs w:val="20"/>
        </w:rPr>
      </w:pPr>
      <w:r w:rsidRPr="00A8636E">
        <w:rPr>
          <w:rFonts w:cs="Times New Roman"/>
          <w:color w:val="000000"/>
          <w:sz w:val="20"/>
          <w:szCs w:val="20"/>
        </w:rPr>
        <w:t xml:space="preserve">Звездообразная топология сети IBM Token Ring также способствует повышению общей надежности сети. Т.к. вся информация сети Token Ring просматривется активными MSAU, эти устройства можно запрограммировать так, чтобы они проверяли наличие проблем и при необходимости выборочно удаляли станции из кольца. </w:t>
      </w:r>
    </w:p>
    <w:p w:rsidR="00F538B5" w:rsidRPr="00A8636E" w:rsidRDefault="00F538B5" w:rsidP="00F538B5">
      <w:pPr>
        <w:spacing w:before="100" w:beforeAutospacing="1" w:after="100" w:afterAutospacing="1"/>
        <w:jc w:val="both"/>
        <w:rPr>
          <w:rFonts w:cs="Times New Roman"/>
          <w:color w:val="000000"/>
          <w:sz w:val="20"/>
          <w:szCs w:val="20"/>
        </w:rPr>
      </w:pPr>
      <w:r w:rsidRPr="00A8636E">
        <w:rPr>
          <w:rFonts w:cs="Times New Roman"/>
          <w:color w:val="000000"/>
          <w:sz w:val="20"/>
          <w:szCs w:val="20"/>
        </w:rPr>
        <w:t>Алгоритм Token Ring, называемый "сигнализирующим" (</w:t>
      </w:r>
      <w:r w:rsidRPr="00A8636E">
        <w:rPr>
          <w:rFonts w:cs="Times New Roman"/>
          <w:i/>
          <w:iCs/>
          <w:color w:val="000000"/>
          <w:sz w:val="20"/>
          <w:szCs w:val="20"/>
        </w:rPr>
        <w:t>beaconing</w:t>
      </w:r>
      <w:r w:rsidRPr="00A8636E">
        <w:rPr>
          <w:rFonts w:cs="Times New Roman"/>
          <w:color w:val="000000"/>
          <w:sz w:val="20"/>
          <w:szCs w:val="20"/>
        </w:rPr>
        <w:t>), выявляет и пытается устранить некоторые неисправности сети. Если какая-нибудь станция обнаружит серьезную проблему в сети (например такую, как обрыв кабеля), она высылает сигнальный блок данных. Сигнальный блок данных указывает домен неисправности, в который входят станция, сообщающая о неисправности, ее ближайший активный сосед, находящийся выше по течению потока информации (NAUN), и все, что находится между ними. Сигнализация инициализирует процесс, называемый "автореконфигурацией" (</w:t>
      </w:r>
      <w:r w:rsidRPr="00A8636E">
        <w:rPr>
          <w:rFonts w:cs="Times New Roman"/>
          <w:i/>
          <w:iCs/>
          <w:color w:val="000000"/>
          <w:sz w:val="20"/>
          <w:szCs w:val="20"/>
        </w:rPr>
        <w:t>autoreconfiguration</w:t>
      </w:r>
      <w:r w:rsidRPr="00A8636E">
        <w:rPr>
          <w:rFonts w:cs="Times New Roman"/>
          <w:color w:val="000000"/>
          <w:sz w:val="20"/>
          <w:szCs w:val="20"/>
        </w:rPr>
        <w:t xml:space="preserve">), в ходе которого узлы, расположенные в пределах отказавшего домена, автоматически выполняют диагностику, пытаясь реконфигурировать сеть вокруг отказавшей зоны. В физическом плане MSAU может выполнить это с помощью электрической реконфигурации. </w:t>
      </w:r>
    </w:p>
    <w:p w:rsidR="00F538B5" w:rsidRPr="00A8636E" w:rsidRDefault="00F538B5" w:rsidP="00F538B5">
      <w:pPr>
        <w:spacing w:before="100" w:beforeAutospacing="1" w:after="100" w:afterAutospacing="1"/>
        <w:jc w:val="both"/>
        <w:outlineLvl w:val="3"/>
        <w:rPr>
          <w:rFonts w:cs="Times New Roman"/>
          <w:b/>
          <w:bCs/>
          <w:color w:val="000000"/>
          <w:sz w:val="20"/>
          <w:szCs w:val="20"/>
        </w:rPr>
      </w:pPr>
      <w:bookmarkStart w:id="4" w:name="6.7"/>
      <w:r w:rsidRPr="00A8636E">
        <w:rPr>
          <w:rFonts w:cs="Times New Roman"/>
          <w:b/>
          <w:bCs/>
          <w:color w:val="000000"/>
          <w:sz w:val="20"/>
          <w:szCs w:val="20"/>
        </w:rPr>
        <w:t>Формат блока данных</w:t>
      </w:r>
      <w:bookmarkEnd w:id="4"/>
      <w:r w:rsidRPr="00A8636E">
        <w:rPr>
          <w:rFonts w:cs="Times New Roman"/>
          <w:b/>
          <w:bCs/>
          <w:color w:val="000000"/>
          <w:sz w:val="20"/>
          <w:szCs w:val="20"/>
        </w:rPr>
        <w:t xml:space="preserve"> </w:t>
      </w:r>
    </w:p>
    <w:p w:rsidR="00F538B5" w:rsidRPr="005033F4" w:rsidRDefault="00F538B5" w:rsidP="00F538B5">
      <w:pPr>
        <w:spacing w:before="100" w:beforeAutospacing="1" w:after="100" w:afterAutospacing="1"/>
        <w:jc w:val="both"/>
        <w:rPr>
          <w:rFonts w:cs="Times New Roman"/>
          <w:color w:val="000000"/>
          <w:sz w:val="20"/>
          <w:szCs w:val="20"/>
          <w:lang w:val="en-US"/>
        </w:rPr>
      </w:pPr>
      <w:r w:rsidRPr="00A8636E">
        <w:rPr>
          <w:rFonts w:cs="Times New Roman"/>
          <w:color w:val="000000"/>
          <w:sz w:val="20"/>
          <w:szCs w:val="20"/>
        </w:rPr>
        <w:t xml:space="preserve">Сети Token Ring определяют два типа блока данных: блоки маркеров и блоки данных/блоки команд. Оба формата представлены на Рис.6-3. </w:t>
      </w:r>
    </w:p>
    <w:p w:rsidR="00F538B5" w:rsidRPr="00A8636E" w:rsidRDefault="00F538B5" w:rsidP="00F538B5">
      <w:pPr>
        <w:numPr>
          <w:ilvl w:val="0"/>
          <w:numId w:val="1"/>
        </w:numPr>
        <w:spacing w:before="100" w:beforeAutospacing="1" w:after="100" w:afterAutospacing="1" w:line="240" w:lineRule="auto"/>
        <w:jc w:val="both"/>
        <w:rPr>
          <w:rFonts w:cs="Times New Roman"/>
          <w:color w:val="000000"/>
          <w:sz w:val="20"/>
          <w:szCs w:val="20"/>
        </w:rPr>
      </w:pPr>
      <w:r w:rsidRPr="00A8636E">
        <w:rPr>
          <w:rFonts w:cs="Times New Roman"/>
          <w:i/>
          <w:iCs/>
          <w:color w:val="000000"/>
          <w:sz w:val="20"/>
          <w:szCs w:val="20"/>
        </w:rPr>
        <w:t>Маркеры</w:t>
      </w:r>
      <w:r w:rsidRPr="00A8636E">
        <w:rPr>
          <w:rFonts w:cs="Times New Roman"/>
          <w:color w:val="000000"/>
          <w:sz w:val="20"/>
          <w:szCs w:val="20"/>
        </w:rPr>
        <w:t xml:space="preserve"> Длина маркера - три байта; он состоит из ограничителя начала </w:t>
      </w:r>
    </w:p>
    <w:p w:rsidR="00F538B5" w:rsidRPr="00A8636E" w:rsidRDefault="00F538B5" w:rsidP="00F538B5">
      <w:pPr>
        <w:ind w:left="720"/>
        <w:jc w:val="both"/>
        <w:rPr>
          <w:rFonts w:cs="Times New Roman"/>
          <w:color w:val="000000"/>
          <w:sz w:val="20"/>
          <w:szCs w:val="20"/>
        </w:rPr>
      </w:pPr>
      <w:r w:rsidRPr="00A8636E">
        <w:rPr>
          <w:rFonts w:cs="Times New Roman"/>
          <w:color w:val="000000"/>
          <w:sz w:val="20"/>
          <w:szCs w:val="20"/>
        </w:rPr>
        <w:t xml:space="preserve">Ограничитель начала служит для предупреждения каждой станции о прибытии маркера (или блока данных/блока команд). В этом поле имеются сигналы, которые отличают этот байт от остальной части блока путем нарушения схемы кодирования, использованной в других частях блока. </w:t>
      </w:r>
    </w:p>
    <w:p w:rsidR="00F538B5" w:rsidRPr="00A8636E" w:rsidRDefault="00F538B5" w:rsidP="00F538B5">
      <w:pPr>
        <w:ind w:left="720"/>
        <w:jc w:val="both"/>
        <w:rPr>
          <w:rFonts w:cs="Times New Roman"/>
          <w:color w:val="000000"/>
          <w:sz w:val="20"/>
          <w:szCs w:val="20"/>
        </w:rPr>
      </w:pPr>
      <w:r w:rsidRPr="00A8636E">
        <w:rPr>
          <w:rFonts w:cs="Times New Roman"/>
          <w:color w:val="000000"/>
          <w:sz w:val="20"/>
          <w:szCs w:val="20"/>
        </w:rPr>
        <w:t xml:space="preserve">байта управления доступом </w:t>
      </w:r>
    </w:p>
    <w:p w:rsidR="00F538B5" w:rsidRPr="00A8636E" w:rsidRDefault="00F538B5" w:rsidP="00F538B5">
      <w:pPr>
        <w:ind w:left="720"/>
        <w:jc w:val="both"/>
        <w:rPr>
          <w:rFonts w:cs="Times New Roman"/>
          <w:color w:val="000000"/>
          <w:sz w:val="20"/>
          <w:szCs w:val="20"/>
        </w:rPr>
      </w:pPr>
      <w:r w:rsidRPr="00A8636E">
        <w:rPr>
          <w:rFonts w:cs="Times New Roman"/>
          <w:color w:val="000000"/>
          <w:sz w:val="20"/>
          <w:szCs w:val="20"/>
        </w:rPr>
        <w:t xml:space="preserve">Байт управления доступом содержит поля приоритета и резервирования, а также бит маркера (используемый для дифференциации маркера и блока данных/блока команд) и бит монитора (используемый активным монитором, чтобы определить, циркулирует какой-либо блок в кольце непрерывно или нет). </w:t>
      </w:r>
    </w:p>
    <w:p w:rsidR="00F538B5" w:rsidRPr="00A8636E" w:rsidRDefault="00F538B5" w:rsidP="00F538B5">
      <w:pPr>
        <w:ind w:left="720"/>
        <w:jc w:val="both"/>
        <w:rPr>
          <w:rFonts w:cs="Times New Roman"/>
          <w:color w:val="000000"/>
          <w:sz w:val="20"/>
          <w:szCs w:val="20"/>
        </w:rPr>
      </w:pPr>
      <w:r w:rsidRPr="00A8636E">
        <w:rPr>
          <w:rFonts w:cs="Times New Roman"/>
          <w:color w:val="000000"/>
          <w:sz w:val="20"/>
          <w:szCs w:val="20"/>
        </w:rPr>
        <w:t xml:space="preserve">ограничителя конца </w:t>
      </w:r>
    </w:p>
    <w:p w:rsidR="00F538B5" w:rsidRPr="00A8636E" w:rsidRDefault="00F538B5" w:rsidP="00F538B5">
      <w:pPr>
        <w:ind w:left="720"/>
        <w:jc w:val="both"/>
        <w:rPr>
          <w:rFonts w:cs="Times New Roman"/>
          <w:color w:val="000000"/>
          <w:sz w:val="20"/>
          <w:szCs w:val="20"/>
        </w:rPr>
      </w:pPr>
      <w:r w:rsidRPr="00A8636E">
        <w:rPr>
          <w:rFonts w:cs="Times New Roman"/>
          <w:color w:val="000000"/>
          <w:sz w:val="20"/>
          <w:szCs w:val="20"/>
        </w:rPr>
        <w:t xml:space="preserve">И наконец, разделитель конца сигнализирует о конце маркера или блока данных/ блока команд. В нем также имеются биты для индикации поврежденного блока,а также блока, являющегося последним в логической последовательности. </w:t>
      </w:r>
    </w:p>
    <w:p w:rsidR="00F538B5" w:rsidRPr="00A8636E" w:rsidRDefault="00F538B5" w:rsidP="00F538B5">
      <w:pPr>
        <w:numPr>
          <w:ilvl w:val="0"/>
          <w:numId w:val="1"/>
        </w:numPr>
        <w:spacing w:before="100" w:beforeAutospacing="1" w:after="100" w:afterAutospacing="1" w:line="240" w:lineRule="auto"/>
        <w:jc w:val="both"/>
        <w:rPr>
          <w:rFonts w:cs="Times New Roman"/>
          <w:color w:val="000000"/>
          <w:sz w:val="20"/>
          <w:szCs w:val="20"/>
        </w:rPr>
      </w:pPr>
      <w:r w:rsidRPr="00A8636E">
        <w:rPr>
          <w:rFonts w:cs="Times New Roman"/>
          <w:i/>
          <w:iCs/>
          <w:color w:val="000000"/>
          <w:sz w:val="20"/>
          <w:szCs w:val="20"/>
        </w:rPr>
        <w:lastRenderedPageBreak/>
        <w:t>Блок данных и блок команд</w:t>
      </w:r>
      <w:r w:rsidRPr="00A8636E">
        <w:rPr>
          <w:rFonts w:cs="Times New Roman"/>
          <w:color w:val="000000"/>
          <w:sz w:val="20"/>
          <w:szCs w:val="20"/>
        </w:rPr>
        <w:t xml:space="preserve"> </w:t>
      </w:r>
    </w:p>
    <w:p w:rsidR="00F538B5" w:rsidRPr="00A8636E" w:rsidRDefault="00F538B5" w:rsidP="00F538B5">
      <w:pPr>
        <w:ind w:left="720"/>
        <w:jc w:val="both"/>
        <w:rPr>
          <w:rFonts w:cs="Times New Roman"/>
          <w:color w:val="000000"/>
          <w:sz w:val="20"/>
          <w:szCs w:val="20"/>
        </w:rPr>
      </w:pPr>
      <w:r w:rsidRPr="00A8636E">
        <w:rPr>
          <w:rFonts w:cs="Times New Roman"/>
          <w:color w:val="000000"/>
          <w:sz w:val="20"/>
          <w:szCs w:val="20"/>
        </w:rPr>
        <w:t xml:space="preserve">Блок данных и блок команд могут иметь разные размеры в зависимости от размеров информационного поля. Блоки данных переносят информацию для протоколов высших уровней; блоки команд содержат управляющую информацию, в них отсутствует информация для протоколов высших уровней. </w:t>
      </w:r>
    </w:p>
    <w:p w:rsidR="00F538B5" w:rsidRPr="00A8636E" w:rsidRDefault="00F538B5" w:rsidP="00F538B5">
      <w:pPr>
        <w:ind w:left="720"/>
        <w:jc w:val="both"/>
        <w:rPr>
          <w:rFonts w:cs="Times New Roman"/>
          <w:color w:val="000000"/>
          <w:sz w:val="20"/>
          <w:szCs w:val="20"/>
        </w:rPr>
      </w:pPr>
      <w:r w:rsidRPr="00A8636E">
        <w:rPr>
          <w:rFonts w:cs="Times New Roman"/>
          <w:color w:val="000000"/>
          <w:sz w:val="20"/>
          <w:szCs w:val="20"/>
        </w:rPr>
        <w:t xml:space="preserve">В блоке данных/ блоке команд за байтом управления доступом следует байт управления блоком данных. Байт управления блоком данных указывает, что содержит блок - данные или управляющую информацию. В управляющих блоках этот байт определяет тип управляющей информации. </w:t>
      </w:r>
    </w:p>
    <w:p w:rsidR="00F538B5" w:rsidRPr="00A8636E" w:rsidRDefault="00F538B5" w:rsidP="00F538B5">
      <w:pPr>
        <w:ind w:left="720"/>
        <w:jc w:val="both"/>
        <w:rPr>
          <w:rFonts w:cs="Times New Roman"/>
          <w:color w:val="000000"/>
          <w:sz w:val="20"/>
          <w:szCs w:val="20"/>
        </w:rPr>
      </w:pPr>
      <w:r w:rsidRPr="00A8636E">
        <w:rPr>
          <w:rFonts w:cs="Times New Roman"/>
          <w:color w:val="000000"/>
          <w:sz w:val="20"/>
          <w:szCs w:val="20"/>
        </w:rPr>
        <w:t xml:space="preserve">За байтом управления блоком следуют два адресных поля, которые идентифицируют станции пункта назначения и источника. Для IEEE 802.5 длина адресов равна 6 байтам. </w:t>
      </w:r>
    </w:p>
    <w:p w:rsidR="00F538B5" w:rsidRPr="00A8636E" w:rsidRDefault="00F538B5" w:rsidP="00F538B5">
      <w:pPr>
        <w:ind w:left="720"/>
        <w:jc w:val="both"/>
        <w:rPr>
          <w:rFonts w:cs="Times New Roman"/>
          <w:color w:val="000000"/>
          <w:sz w:val="20"/>
          <w:szCs w:val="20"/>
        </w:rPr>
      </w:pPr>
      <w:r w:rsidRPr="00A8636E">
        <w:rPr>
          <w:rFonts w:cs="Times New Roman"/>
          <w:color w:val="000000"/>
          <w:sz w:val="20"/>
          <w:szCs w:val="20"/>
        </w:rPr>
        <w:t xml:space="preserve">За адресными полями идет поле данных. Длина этого поля ограничена временем удержания маркера кольца, которое определяет максимальное время, в течение которого станция может удерживать маркер. </w:t>
      </w:r>
    </w:p>
    <w:p w:rsidR="00F538B5" w:rsidRPr="00A8636E" w:rsidRDefault="00F538B5" w:rsidP="00F538B5">
      <w:pPr>
        <w:ind w:left="720"/>
        <w:jc w:val="both"/>
        <w:rPr>
          <w:rFonts w:cs="Times New Roman"/>
          <w:color w:val="000000"/>
          <w:sz w:val="20"/>
          <w:szCs w:val="20"/>
        </w:rPr>
      </w:pPr>
      <w:r w:rsidRPr="00A8636E">
        <w:rPr>
          <w:rFonts w:cs="Times New Roman"/>
          <w:color w:val="000000"/>
          <w:sz w:val="20"/>
          <w:szCs w:val="20"/>
        </w:rPr>
        <w:t xml:space="preserve">За полем данных идет поле последовательности проверки блока (FCS). Станция-источник заполняет это поле вычисленной величиной, зависящей от содержания блока данных. Станция назначения повторно вычисляет эту величину, чтобы определить, не был ли блок поврежден при прохождении. Если это так, то блок отбрасывается. </w:t>
      </w:r>
    </w:p>
    <w:p w:rsidR="00F538B5" w:rsidRPr="005C7E47" w:rsidRDefault="00F538B5" w:rsidP="00F538B5">
      <w:pPr>
        <w:ind w:left="720"/>
        <w:jc w:val="both"/>
        <w:rPr>
          <w:rFonts w:cs="Times New Roman"/>
          <w:color w:val="000000"/>
          <w:sz w:val="24"/>
          <w:szCs w:val="24"/>
        </w:rPr>
      </w:pPr>
      <w:r w:rsidRPr="00A8636E">
        <w:rPr>
          <w:rFonts w:cs="Times New Roman"/>
          <w:color w:val="000000"/>
          <w:sz w:val="20"/>
          <w:szCs w:val="20"/>
        </w:rPr>
        <w:t>Также, как и маркер, блок данных/ блок команд заканчивается ограничителем</w:t>
      </w:r>
      <w:r w:rsidRPr="005C7E47">
        <w:rPr>
          <w:rFonts w:cs="Times New Roman"/>
          <w:color w:val="000000"/>
          <w:sz w:val="24"/>
          <w:szCs w:val="24"/>
        </w:rPr>
        <w:t xml:space="preserve"> </w:t>
      </w:r>
      <w:r w:rsidRPr="00A8636E">
        <w:rPr>
          <w:rFonts w:cs="Times New Roman"/>
          <w:color w:val="000000"/>
          <w:sz w:val="20"/>
          <w:szCs w:val="20"/>
        </w:rPr>
        <w:t>конца.</w:t>
      </w:r>
      <w:r w:rsidRPr="005C7E47">
        <w:rPr>
          <w:rFonts w:cs="Times New Roman"/>
          <w:color w:val="000000"/>
          <w:sz w:val="24"/>
          <w:szCs w:val="24"/>
        </w:rPr>
        <w:t xml:space="preserve"> </w:t>
      </w:r>
    </w:p>
    <w:p w:rsidR="00823C95" w:rsidRDefault="00823C95" w:rsidP="00F538B5">
      <w:pPr>
        <w:jc w:val="both"/>
      </w:pPr>
    </w:p>
    <w:sectPr w:rsidR="00823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D2526"/>
    <w:multiLevelType w:val="multilevel"/>
    <w:tmpl w:val="CDDE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30"/>
    <w:rsid w:val="00051C24"/>
    <w:rsid w:val="003D7EC0"/>
    <w:rsid w:val="00823C95"/>
    <w:rsid w:val="00AC2A30"/>
    <w:rsid w:val="00DF173A"/>
    <w:rsid w:val="00F53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1139</Words>
  <Characters>6493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E410-ADMIN</dc:creator>
  <cp:keywords/>
  <dc:description/>
  <cp:lastModifiedBy>mv</cp:lastModifiedBy>
  <cp:revision>5</cp:revision>
  <dcterms:created xsi:type="dcterms:W3CDTF">2015-09-03T01:00:00Z</dcterms:created>
  <dcterms:modified xsi:type="dcterms:W3CDTF">2020-11-23T05:19:00Z</dcterms:modified>
</cp:coreProperties>
</file>