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  <w:r w:rsidRPr="00374C8F">
        <w:rPr>
          <w:rFonts w:ascii="Times New Roman" w:hAnsi="Times New Roman" w:cs="Times New Roman"/>
          <w:sz w:val="40"/>
          <w:szCs w:val="40"/>
        </w:rPr>
        <w:t>Практические занятия</w:t>
      </w: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Default="006352A3" w:rsidP="006352A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352A3" w:rsidRPr="002512D8" w:rsidRDefault="006352A3" w:rsidP="006352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2D8">
        <w:rPr>
          <w:rFonts w:ascii="Times New Roman" w:hAnsi="Times New Roman" w:cs="Times New Roman"/>
          <w:b/>
          <w:sz w:val="32"/>
          <w:szCs w:val="32"/>
        </w:rPr>
        <w:t xml:space="preserve">1. Выборка из </w:t>
      </w:r>
      <w:proofErr w:type="spellStart"/>
      <w:r w:rsidRPr="002512D8">
        <w:rPr>
          <w:rFonts w:ascii="Times New Roman" w:hAnsi="Times New Roman" w:cs="Times New Roman"/>
          <w:b/>
          <w:sz w:val="32"/>
          <w:szCs w:val="32"/>
        </w:rPr>
        <w:t>ГОСТа</w:t>
      </w:r>
      <w:proofErr w:type="spellEnd"/>
    </w:p>
    <w:p w:rsidR="006352A3" w:rsidRPr="002512D8" w:rsidRDefault="006352A3" w:rsidP="006352A3">
      <w:pPr>
        <w:shd w:val="clear" w:color="auto" w:fill="FBFBFB"/>
        <w:spacing w:before="368" w:after="18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512D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ГОСТ 1451-77 Краны грузоподъемные. Нагрузка ветровая. Нормы и метод определения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Дата введения 01.01.1978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Ограничение срока действия снято Постановлением Госстандарта от 10.09.92 N 1151  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ВЗАМЕН ГОСТ 1451-65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ПЕРЕИЗДАНИЕ. Июль 2003 г.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Настоящий стандарт распространяется на грузоподъемные краны, эксплуатируемые на открытом воздухе, и устанавливает нормы и метод определения ветровой нагрузки, действующей на краны в их нерабочем и рабочем состояниях.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Стандарт не распространяется на судовые и плавучие краны.</w:t>
      </w:r>
    </w:p>
    <w:p w:rsidR="006352A3" w:rsidRPr="002512D8" w:rsidRDefault="006352A3" w:rsidP="006352A3">
      <w:pPr>
        <w:shd w:val="clear" w:color="auto" w:fill="FBFBFB"/>
        <w:spacing w:before="368" w:after="184" w:line="240" w:lineRule="auto"/>
        <w:outlineLvl w:val="1"/>
        <w:rPr>
          <w:rFonts w:ascii="inherit" w:eastAsia="Times New Roman" w:hAnsi="inherit" w:cs="Times New Roman"/>
          <w:color w:val="333333"/>
          <w:sz w:val="40"/>
          <w:szCs w:val="40"/>
          <w:lang w:eastAsia="ru-RU"/>
        </w:rPr>
      </w:pPr>
      <w:r w:rsidRPr="002512D8">
        <w:rPr>
          <w:rFonts w:ascii="inherit" w:eastAsia="Times New Roman" w:hAnsi="inherit" w:cs="Times New Roman"/>
          <w:color w:val="333333"/>
          <w:sz w:val="40"/>
          <w:szCs w:val="40"/>
          <w:lang w:eastAsia="ru-RU"/>
        </w:rPr>
        <w:t>1. ОБЩИЕ ПОЛОЖЕНИЯ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1.1. Ветровая нагрузка на кран в нерабочем состоянии должна быть учтена при расчете металлических конструкций, механизмов поворота, передвижения крана и тележки, механизма изменения вылета стрелы, осей и валов ходовых колес, противоугонных устройств и собственной устойчивости крана.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 ветровую нагрузку на кран в нерабочем состоянии принимается предельная ветровая нагрузка, на которую должны быть рассчитаны элементы крана.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1.2. Ветровая нагрузка на кран в рабочем состоянии должна быть учтена при расчете металлических конструкций и механизмов, тормозов, при определении мощности двигателей, собственной и грузовой устойчивости крана.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 ветровую нагрузку на кран в рабочем состоянии принимается предельная ветровая нагрузка, при которой обеспечивается эксплуатация крана с номинальным грузом.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1.3. Ветровая нагрузка на кран должна быть определена как сумма статической и динамической составляющих.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Статическая составляющая, соответствующая установившейся скорости ветра, должна быть учтена во всех случаях.</w:t>
      </w:r>
    </w:p>
    <w:p w:rsidR="006352A3" w:rsidRPr="002512D8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512D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Динамическая составляющая, вызываемая пульсацией скорости ветра, должна быть учтена только при расчете на прочность металлических конструкций и при проверке устойчивости кранов против опрокидывания.</w:t>
      </w:r>
    </w:p>
    <w:p w:rsidR="006352A3" w:rsidRPr="00F84C61" w:rsidRDefault="006352A3" w:rsidP="006352A3">
      <w:pPr>
        <w:shd w:val="clear" w:color="auto" w:fill="FBFBFB"/>
        <w:spacing w:after="0" w:line="383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Далее ГОСТ изучить самостоятельно.</w:t>
      </w:r>
    </w:p>
    <w:p w:rsidR="00401C4C" w:rsidRDefault="00401C4C"/>
    <w:sectPr w:rsidR="00401C4C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4E16"/>
    <w:rsid w:val="003334AE"/>
    <w:rsid w:val="00401C4C"/>
    <w:rsid w:val="005B4E16"/>
    <w:rsid w:val="0063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2022-02-04T05:26:00Z</dcterms:created>
  <dcterms:modified xsi:type="dcterms:W3CDTF">2022-02-04T05:29:00Z</dcterms:modified>
</cp:coreProperties>
</file>