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22" w:rsidRDefault="00152A22" w:rsidP="00152A22">
      <w:pPr>
        <w:spacing w:line="240" w:lineRule="auto"/>
      </w:pPr>
      <w:r>
        <w:t xml:space="preserve">                     Задание, группа СТ(са)-18, 22.10.20г.</w:t>
      </w:r>
    </w:p>
    <w:p w:rsidR="00152A22" w:rsidRDefault="00152A22" w:rsidP="00152A22">
      <w:pPr>
        <w:spacing w:line="240" w:lineRule="auto"/>
      </w:pPr>
      <w:r>
        <w:t xml:space="preserve">           Курс «Проектирование автомобильных дорог»</w:t>
      </w:r>
    </w:p>
    <w:p w:rsidR="00152A22" w:rsidRDefault="00152A22" w:rsidP="00152A22">
      <w:pPr>
        <w:spacing w:line="240" w:lineRule="auto"/>
      </w:pPr>
      <w:r w:rsidRPr="00B77DA6">
        <w:rPr>
          <w:b/>
        </w:rPr>
        <w:t>План лекции</w:t>
      </w:r>
      <w:r>
        <w:t>:1. Элементы продольного профиля</w:t>
      </w:r>
    </w:p>
    <w:p w:rsidR="00152A22" w:rsidRDefault="00152A22" w:rsidP="00152A22">
      <w:pPr>
        <w:spacing w:line="240" w:lineRule="auto"/>
      </w:pPr>
      <w:r>
        <w:t>2.Принципы проектирования  продольного  профиля</w:t>
      </w:r>
    </w:p>
    <w:p w:rsidR="00152A22" w:rsidRDefault="00152A22" w:rsidP="00152A22">
      <w:pPr>
        <w:spacing w:line="240" w:lineRule="auto"/>
      </w:pPr>
      <w:r>
        <w:t>3.Методы нанесения проектной линии</w:t>
      </w:r>
    </w:p>
    <w:p w:rsidR="00152A22" w:rsidRPr="00152A22" w:rsidRDefault="00152A22" w:rsidP="00152A22">
      <w:pPr>
        <w:spacing w:line="240" w:lineRule="auto"/>
      </w:pPr>
      <w:r>
        <w:t>4.Установление проектной отметки  насыпи</w:t>
      </w:r>
    </w:p>
    <w:p w:rsidR="00755BDF" w:rsidRPr="00775100" w:rsidRDefault="00755BDF" w:rsidP="00152A22">
      <w:pPr>
        <w:jc w:val="center"/>
        <w:rPr>
          <w:i/>
        </w:rPr>
      </w:pPr>
      <w:r w:rsidRPr="00775100">
        <w:rPr>
          <w:i/>
        </w:rPr>
        <w:t>Элементы продольного профиля</w:t>
      </w:r>
    </w:p>
    <w:p w:rsidR="00E1230C" w:rsidRDefault="009F3355" w:rsidP="00755BDF">
      <w:r>
        <w:t xml:space="preserve">          </w:t>
      </w:r>
      <w:r w:rsidRPr="001927B8">
        <w:rPr>
          <w:b/>
        </w:rPr>
        <w:t>Продольным профилем дороги</w:t>
      </w:r>
      <w:r>
        <w:t xml:space="preserve"> называют развернутую в плоскости чертежа проекцию дороги на вертикальную плоскость. Продольный профиль характеризует крутизну отдельных участков дороги, характеризуемую величиной продольного уклона. Величина продольного уклона является одной из важнейших характеристик транспортных качеств  автомобильной дороги.</w:t>
      </w:r>
      <w:r w:rsidR="00F943BE">
        <w:t xml:space="preserve"> Продольный уклон- отношение превышения  одной точки над другой к гор</w:t>
      </w:r>
      <w:r w:rsidR="00775100">
        <w:t>изонтальной проекции между ними.</w:t>
      </w:r>
    </w:p>
    <w:p w:rsidR="009F3355" w:rsidRDefault="00775100" w:rsidP="00755BDF">
      <w:r>
        <w:t xml:space="preserve">       </w:t>
      </w:r>
      <w:r w:rsidR="001927B8">
        <w:t xml:space="preserve"> </w:t>
      </w:r>
      <w:r>
        <w:t xml:space="preserve"> </w:t>
      </w:r>
      <w:r w:rsidR="009F3355">
        <w:t>Естественные уклоны местности</w:t>
      </w:r>
      <w:r w:rsidR="001927B8">
        <w:t xml:space="preserve"> часто превышают допустимые для  эффектного  использования автомобилей. В таких случаях уклон дороги делают более пологим, чем уклон поверхности земли, срезая часть грунта или, наоборот, подсыпая его, например в местах перехода через пониженные участки рельефа. Места, где поверхность дороги в результате срезки грунта расположена  ниже поверхности земли, называют </w:t>
      </w:r>
      <w:r w:rsidR="001927B8" w:rsidRPr="001927B8">
        <w:rPr>
          <w:b/>
        </w:rPr>
        <w:t>выемками</w:t>
      </w:r>
      <w:r w:rsidR="001927B8">
        <w:t>, а участки, где дорога проходит выше поверхнос</w:t>
      </w:r>
      <w:r w:rsidR="00F943BE">
        <w:t xml:space="preserve">ти земли по искусственно отсыпанному земляному полотну, </w:t>
      </w:r>
      <w:r w:rsidR="00F943BE" w:rsidRPr="00F943BE">
        <w:rPr>
          <w:b/>
        </w:rPr>
        <w:t>насыпями</w:t>
      </w:r>
      <w:r w:rsidR="00F943BE">
        <w:t xml:space="preserve">. При высоте насыпи менее 1метра говорят, что дорога проходит в нулевых отметках. Из-за устройства насыпей и выемок отметки дороги не совпадают с отметками поверхности земли. Разность между отметкой поверхности земли и отметкой оси дороги, определяющая высоту насыпи или глубину выемки, называют </w:t>
      </w:r>
      <w:r w:rsidR="00F943BE" w:rsidRPr="00F943BE">
        <w:rPr>
          <w:b/>
        </w:rPr>
        <w:t>рабочей отметкой</w:t>
      </w:r>
      <w:r w:rsidR="00F943BE">
        <w:t>.</w:t>
      </w:r>
    </w:p>
    <w:p w:rsidR="00F943BE" w:rsidRPr="001927B8" w:rsidRDefault="00F943BE" w:rsidP="00755BDF">
      <w:pPr>
        <w:rPr>
          <w:sz w:val="32"/>
        </w:rPr>
      </w:pPr>
      <w:r>
        <w:t xml:space="preserve">     Проектная линия продольного профиля  состоит из прямых участков</w:t>
      </w:r>
      <w:r w:rsidR="00775100">
        <w:t xml:space="preserve"> и вертикальных кривых, вписанных  в переломы проектной линии. Прямые участки характеризуются длиной (в метрах) и продол</w:t>
      </w:r>
      <w:r w:rsidR="00152A22">
        <w:t>ьным уклоном в тысячных долях (</w:t>
      </w:r>
      <w:r w:rsidR="00775100">
        <w:t>в ‰).</w:t>
      </w:r>
    </w:p>
    <w:p w:rsidR="00775100" w:rsidRDefault="009F3355">
      <w:r>
        <w:t xml:space="preserve">   </w:t>
      </w:r>
      <w:r w:rsidR="00775100">
        <w:t xml:space="preserve">        </w:t>
      </w:r>
    </w:p>
    <w:p w:rsidR="00775100" w:rsidRDefault="00775100">
      <w:r>
        <w:t xml:space="preserve">                    </w:t>
      </w:r>
    </w:p>
    <w:p w:rsidR="00775100" w:rsidRDefault="00775100"/>
    <w:p w:rsidR="00775100" w:rsidRDefault="00775100"/>
    <w:p w:rsidR="00775100" w:rsidRDefault="00775100"/>
    <w:p w:rsidR="00941EB1" w:rsidRDefault="00941EB1"/>
    <w:p w:rsidR="000D04E3" w:rsidRPr="00775100" w:rsidRDefault="000D04E3" w:rsidP="00152A22">
      <w:pPr>
        <w:jc w:val="center"/>
      </w:pPr>
      <w:r w:rsidRPr="00775100">
        <w:rPr>
          <w:i/>
        </w:rPr>
        <w:t>Принципы  проектирования продольного профиля</w:t>
      </w:r>
    </w:p>
    <w:p w:rsidR="000D04E3" w:rsidRPr="00775100" w:rsidRDefault="000D04E3">
      <w:pPr>
        <w:rPr>
          <w:b/>
        </w:rPr>
      </w:pPr>
      <w:r w:rsidRPr="00775100">
        <w:rPr>
          <w:b/>
        </w:rPr>
        <w:t xml:space="preserve"> </w:t>
      </w:r>
      <w:r w:rsidR="00082EDA" w:rsidRPr="00775100">
        <w:rPr>
          <w:b/>
        </w:rPr>
        <w:t xml:space="preserve">        </w:t>
      </w:r>
      <w:r w:rsidRPr="00775100">
        <w:rPr>
          <w:b/>
        </w:rPr>
        <w:t>Проектная линия продольного профиля</w:t>
      </w:r>
      <w:r>
        <w:t xml:space="preserve"> – линия, изображающая проектное положение  оси  земляного  полотна по отношению к поверхности  земли. Установление  положения оси дороги  в продольном профиле  по отношению к поверхности земли </w:t>
      </w:r>
      <w:r w:rsidR="00082EDA">
        <w:t xml:space="preserve"> </w:t>
      </w:r>
      <w:r w:rsidR="00082EDA" w:rsidRPr="00775100">
        <w:t xml:space="preserve">называется  </w:t>
      </w:r>
      <w:r w:rsidR="00082EDA" w:rsidRPr="00775100">
        <w:rPr>
          <w:b/>
        </w:rPr>
        <w:t>проектированием  продольного профиля  или  нанесением проектной линии.</w:t>
      </w:r>
    </w:p>
    <w:p w:rsidR="00082EDA" w:rsidRDefault="00082EDA">
      <w:r w:rsidRPr="00082EDA">
        <w:t>Пр</w:t>
      </w:r>
      <w:r>
        <w:t>и  проектировании  дороги  предусматривают возвышение  земляного полотна  над поверхностью  земли, этим  обеспечивают осушение грунта и меньшую  заносимость дороги снегом.</w:t>
      </w:r>
      <w:r w:rsidR="007B11EF">
        <w:t xml:space="preserve"> Устройство  земляного полотна в насыпи  создает для дороги  более благоприятные  гидрогеологические условия  по сравнению  с естественной поверхностью грунта. Лишь  при необходимости  смягчения продольного профиля и для уменьшения  объемов  земляных работ  земляное  по</w:t>
      </w:r>
      <w:r w:rsidR="002E1B59">
        <w:t>лотно проектируют  в выемках по</w:t>
      </w:r>
      <w:r w:rsidR="007B11EF">
        <w:t xml:space="preserve"> возможности на коротких участках</w:t>
      </w:r>
      <w:r w:rsidR="00EE34DB">
        <w:t>.</w:t>
      </w:r>
    </w:p>
    <w:p w:rsidR="002E1B59" w:rsidRDefault="002E1B59">
      <w:r>
        <w:t xml:space="preserve">          При нанесении проектной линии необходимо обеспечить</w:t>
      </w:r>
      <w:r w:rsidR="00CE1EF3">
        <w:t xml:space="preserve"> (</w:t>
      </w:r>
      <w:r w:rsidR="00570C0B">
        <w:t>принципы проектирования продольного профиля)</w:t>
      </w:r>
      <w:r>
        <w:t>:</w:t>
      </w:r>
    </w:p>
    <w:p w:rsidR="002E1B59" w:rsidRDefault="002E1B59">
      <w:r>
        <w:t>-соблюдение те</w:t>
      </w:r>
      <w:r w:rsidR="00570C0B">
        <w:t>хнических норм проектирования (</w:t>
      </w:r>
      <w:r>
        <w:t>допустимые продольные уклоны  и  реко</w:t>
      </w:r>
      <w:r w:rsidR="00CE1EF3">
        <w:t xml:space="preserve">мендуемые  радиусы  </w:t>
      </w:r>
      <w:r>
        <w:t xml:space="preserve">выпуклых </w:t>
      </w:r>
      <w:r w:rsidR="00570C0B">
        <w:t>и вогнутых  вертикальных кривых</w:t>
      </w:r>
      <w:r w:rsidR="00CE1EF3">
        <w:t>- радиусы вертикальных кривых не должны быть меньше нормируемых  СП</w:t>
      </w:r>
      <w:r>
        <w:t>);</w:t>
      </w:r>
    </w:p>
    <w:p w:rsidR="002E1B59" w:rsidRDefault="002E1B59">
      <w:r>
        <w:t>-обеспечение минимальных объемов земляных работ и рационального распределения  земляных масс;</w:t>
      </w:r>
    </w:p>
    <w:p w:rsidR="002E1B59" w:rsidRDefault="002E1B59">
      <w:r>
        <w:t>-прохождение проектной линии через контрольные точки, имеющие заданные высотные  отметки;</w:t>
      </w:r>
    </w:p>
    <w:p w:rsidR="00B1134F" w:rsidRDefault="002E1B59">
      <w:r>
        <w:t>-обеспечение плавности  пути, безопасности движения и видимости</w:t>
      </w:r>
      <w:r w:rsidR="009F7E17">
        <w:t xml:space="preserve"> </w:t>
      </w:r>
      <w:r>
        <w:t xml:space="preserve"> в продольном </w:t>
      </w:r>
      <w:r w:rsidR="009F7E17">
        <w:t xml:space="preserve"> профиле;- отвод воды от земляного п</w:t>
      </w:r>
      <w:r w:rsidR="00CE1EF3">
        <w:t>олотна и осушение полосы отвод</w:t>
      </w:r>
      <w:r w:rsidR="00B1134F">
        <w:t>а.</w:t>
      </w:r>
    </w:p>
    <w:p w:rsidR="00775100" w:rsidRDefault="009F7E17">
      <w:r>
        <w:lastRenderedPageBreak/>
        <w:t xml:space="preserve">    </w:t>
      </w:r>
    </w:p>
    <w:p w:rsidR="00775100" w:rsidRPr="00775100" w:rsidRDefault="00775100" w:rsidP="009409BA">
      <w:pPr>
        <w:jc w:val="center"/>
        <w:rPr>
          <w:i/>
        </w:rPr>
      </w:pPr>
      <w:r w:rsidRPr="00775100">
        <w:rPr>
          <w:i/>
        </w:rPr>
        <w:t xml:space="preserve">Методы </w:t>
      </w:r>
      <w:r w:rsidR="005102B0">
        <w:rPr>
          <w:i/>
        </w:rPr>
        <w:t>нанесения проектной линии</w:t>
      </w:r>
    </w:p>
    <w:p w:rsidR="009F7E17" w:rsidRPr="00775100" w:rsidRDefault="009F7E17">
      <w:pPr>
        <w:rPr>
          <w:b/>
        </w:rPr>
      </w:pPr>
      <w:r>
        <w:t xml:space="preserve"> Различают  два метода проложения  проектной линии</w:t>
      </w:r>
      <w:r w:rsidRPr="00775100">
        <w:t xml:space="preserve">:  </w:t>
      </w:r>
      <w:r w:rsidRPr="00775100">
        <w:rPr>
          <w:b/>
        </w:rPr>
        <w:t>по</w:t>
      </w:r>
      <w:r w:rsidRPr="00775100">
        <w:rPr>
          <w:b/>
          <w:u w:val="single"/>
        </w:rPr>
        <w:t xml:space="preserve"> </w:t>
      </w:r>
      <w:r w:rsidRPr="00775100">
        <w:rPr>
          <w:b/>
        </w:rPr>
        <w:t>обертывающей  и по секущей.</w:t>
      </w:r>
    </w:p>
    <w:p w:rsidR="002E1B59" w:rsidRDefault="009F7E17">
      <w:r w:rsidRPr="00D922CD">
        <w:t xml:space="preserve"> При  проектировании</w:t>
      </w:r>
      <w:r w:rsidR="00D922CD">
        <w:t xml:space="preserve"> </w:t>
      </w:r>
      <w:r w:rsidR="00D922CD" w:rsidRPr="00775100">
        <w:rPr>
          <w:b/>
        </w:rPr>
        <w:t xml:space="preserve">по </w:t>
      </w:r>
      <w:r w:rsidRPr="00775100">
        <w:rPr>
          <w:b/>
        </w:rPr>
        <w:t>обертывающей</w:t>
      </w:r>
      <w:r w:rsidRPr="00D922CD">
        <w:t xml:space="preserve"> </w:t>
      </w:r>
      <w:r w:rsidR="00D922CD">
        <w:t xml:space="preserve"> проектную линию наносят по возможности  параллельно  поверхности земли  с  соблюдением рекомендуемых отметок, допуская  отступления лишь на  пересечении пониженных мест рельефа и при близком расположении переломов продольного профиля</w:t>
      </w:r>
      <w:r w:rsidR="003E2A69">
        <w:t>, при пересечении оврагов,  заболоченных участков, на подходах к искусственным сооружениям</w:t>
      </w:r>
      <w:r w:rsidR="00D922CD">
        <w:t xml:space="preserve">. Такой метод применяют  в условиях равнинного и слабохолмистого  рельефа  местности. Он позволяет получить хорошо осушаемое, устойчивое  земляное полотно  в насыпи. В пересеченной местности при  нанесении проектной линии как обертывающей продольный профиль дороги </w:t>
      </w:r>
      <w:r w:rsidR="003E2A69">
        <w:t xml:space="preserve"> получается неспокойным. Движение автомобиля  по дороге  превращается в непрерывное  преодоление  подъемов  с последующим спуском в долины (топливо, снижение скорости). Поэтому этот метод применяют  при проектировании дорог низших категорий.</w:t>
      </w:r>
    </w:p>
    <w:p w:rsidR="003E2A69" w:rsidRDefault="003E2A69">
      <w:r>
        <w:t xml:space="preserve">        В условиях холмистого, сильнопересеченного рельефа</w:t>
      </w:r>
      <w:r w:rsidR="009865A0">
        <w:t xml:space="preserve"> местности, при интенсивном движении и благоприятных грунтово-геологических условиях более рациональна проектная линия, нанесенная как </w:t>
      </w:r>
      <w:r w:rsidR="009865A0" w:rsidRPr="00775100">
        <w:rPr>
          <w:b/>
        </w:rPr>
        <w:t xml:space="preserve">секущая </w:t>
      </w:r>
      <w:r w:rsidR="009865A0">
        <w:t xml:space="preserve">со срезкой холмов выемками и использованием грунта из них для отсыпки насыпей в пониженных местах. Этот метод применяют при проектировании дорог высших категорий ( </w:t>
      </w:r>
      <w:r w:rsidR="009865A0">
        <w:rPr>
          <w:lang w:val="en-US"/>
        </w:rPr>
        <w:t>I</w:t>
      </w:r>
      <w:r w:rsidR="009865A0">
        <w:t>,</w:t>
      </w:r>
      <w:r w:rsidR="009865A0" w:rsidRPr="009865A0">
        <w:t xml:space="preserve"> </w:t>
      </w:r>
      <w:r w:rsidR="009865A0">
        <w:rPr>
          <w:lang w:val="en-US"/>
        </w:rPr>
        <w:t>II</w:t>
      </w:r>
      <w:r w:rsidR="009865A0">
        <w:t xml:space="preserve"> категории).</w:t>
      </w:r>
    </w:p>
    <w:p w:rsidR="00BA24A9" w:rsidRDefault="00BA24A9" w:rsidP="00BA24A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00395" cy="2114216"/>
            <wp:effectExtent l="0" t="0" r="0" b="0"/>
            <wp:docPr id="3" name="Рисунок 3" descr="C:\Users\User\AppData\Local\Temp\Rar$DIa0.500\IMG_2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0.500\IMG_29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754" cy="211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4A9" w:rsidRPr="008966B0" w:rsidRDefault="008966B0" w:rsidP="008966B0">
      <w:pPr>
        <w:spacing w:after="0" w:line="240" w:lineRule="auto"/>
        <w:jc w:val="center"/>
        <w:rPr>
          <w:sz w:val="24"/>
          <w:szCs w:val="24"/>
        </w:rPr>
      </w:pPr>
      <w:r w:rsidRPr="008966B0">
        <w:rPr>
          <w:sz w:val="24"/>
          <w:szCs w:val="24"/>
        </w:rPr>
        <w:t>Рис. 1 Методы проложения проектной линии:</w:t>
      </w:r>
    </w:p>
    <w:p w:rsidR="008966B0" w:rsidRPr="008966B0" w:rsidRDefault="008966B0" w:rsidP="008966B0">
      <w:pPr>
        <w:spacing w:after="0" w:line="240" w:lineRule="auto"/>
        <w:jc w:val="center"/>
        <w:rPr>
          <w:sz w:val="24"/>
          <w:szCs w:val="24"/>
        </w:rPr>
      </w:pPr>
      <w:r w:rsidRPr="008966B0">
        <w:rPr>
          <w:sz w:val="24"/>
          <w:szCs w:val="24"/>
        </w:rPr>
        <w:t>1- по обертывающей; 2 – по секущей</w:t>
      </w:r>
    </w:p>
    <w:p w:rsidR="00BA24A9" w:rsidRDefault="00BA24A9"/>
    <w:p w:rsidR="00BA24A9" w:rsidRDefault="00BA24A9"/>
    <w:p w:rsidR="009865A0" w:rsidRPr="009865A0" w:rsidRDefault="009865A0">
      <w:r>
        <w:t xml:space="preserve">  Проектирование горизонтальных участков в выемках не допускается. Уклон проектной линии в выемках должен быть не менее 5-10</w:t>
      </w:r>
      <w:r w:rsidR="00755BDF">
        <w:t xml:space="preserve">‰ для обеспечения поверхностного водоотвода. На косогорных участках водоотвод обеспечивают нагорными канавами с устройством банкета. Следует избегать проектирования мелких выемок большой длины в связи </w:t>
      </w:r>
      <w:r w:rsidR="00775100">
        <w:t xml:space="preserve"> </w:t>
      </w:r>
      <w:r w:rsidR="00755BDF">
        <w:t xml:space="preserve"> со снегозаносимостью.</w:t>
      </w:r>
    </w:p>
    <w:p w:rsidR="001A0349" w:rsidRPr="00775100" w:rsidRDefault="001A0349" w:rsidP="001A0349">
      <w:pPr>
        <w:jc w:val="center"/>
        <w:rPr>
          <w:i/>
        </w:rPr>
      </w:pPr>
      <w:r w:rsidRPr="00775100">
        <w:rPr>
          <w:i/>
        </w:rPr>
        <w:t>Установление  рекомендуемой  отметки насыпи</w:t>
      </w:r>
    </w:p>
    <w:p w:rsidR="001A0349" w:rsidRDefault="001A0349" w:rsidP="001A0349">
      <w:r>
        <w:t>Рекомендуемая  отметка  насыпи определяется  из двух условий.</w:t>
      </w:r>
    </w:p>
    <w:p w:rsidR="001A0349" w:rsidRDefault="001A0349" w:rsidP="004D746C">
      <w:r>
        <w:t>1.Для обеспечения  устойчивости  и  прочности  верхней части  земляного полотна  и  дорожной  одежды  возвышение  поверхности   покрытия над расчетным  уровнем грунтовых вод ,  верховодки  или длительно  ( более 30 суток)  стоящих  поверхностных  вод,  а также  над  поверхностью  земли  на участках  с  необеспеченным  поверхностным</w:t>
      </w:r>
      <w:r w:rsidR="00E74E0D">
        <w:t xml:space="preserve"> </w:t>
      </w:r>
      <w:r>
        <w:t xml:space="preserve"> стоком </w:t>
      </w:r>
      <w:r w:rsidR="00E74E0D">
        <w:t xml:space="preserve"> или   над уровнем  кратковременных  ( менее 30 суток)  стоящих поверхностных  вод, должно соответствовать   требованиям  таблицы  7.2  СП:</w:t>
      </w:r>
    </w:p>
    <w:p w:rsidR="00E74E0D" w:rsidRPr="00E74E0D" w:rsidRDefault="00E74E0D" w:rsidP="00E74E0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E74E0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7.2</w:t>
      </w:r>
      <w:r w:rsidRPr="00E74E0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85"/>
        <w:gridCol w:w="1404"/>
        <w:gridCol w:w="1546"/>
        <w:gridCol w:w="1422"/>
        <w:gridCol w:w="1398"/>
      </w:tblGrid>
      <w:tr w:rsidR="00E74E0D" w:rsidRPr="00E74E0D" w:rsidTr="00E74E0D">
        <w:trPr>
          <w:trHeight w:val="15"/>
        </w:trPr>
        <w:tc>
          <w:tcPr>
            <w:tcW w:w="4250" w:type="dxa"/>
            <w:hideMark/>
          </w:tcPr>
          <w:p w:rsidR="00E74E0D" w:rsidRPr="00E74E0D" w:rsidRDefault="00E74E0D" w:rsidP="00E74E0D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E74E0D" w:rsidRPr="00E74E0D" w:rsidRDefault="00E74E0D" w:rsidP="00E74E0D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E74E0D" w:rsidRPr="00E74E0D" w:rsidRDefault="00E74E0D" w:rsidP="00E74E0D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E74E0D" w:rsidRPr="00E74E0D" w:rsidRDefault="00E74E0D" w:rsidP="00E74E0D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E74E0D" w:rsidRPr="00E74E0D" w:rsidRDefault="00E74E0D" w:rsidP="00E74E0D">
            <w:pPr>
              <w:spacing w:after="0" w:line="240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</w:tr>
      <w:tr w:rsidR="00E74E0D" w:rsidRPr="00E74E0D" w:rsidTr="00E74E0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Cs w:val="28"/>
                <w:lang w:eastAsia="ru-RU"/>
              </w:rPr>
            </w:pPr>
            <w:r w:rsidRPr="00E74E0D">
              <w:rPr>
                <w:rFonts w:eastAsia="Times New Roman"/>
                <w:color w:val="2D2D2D"/>
                <w:szCs w:val="28"/>
                <w:lang w:eastAsia="ru-RU"/>
              </w:rPr>
              <w:t>Грунт рабочего слоя</w:t>
            </w:r>
          </w:p>
        </w:tc>
        <w:tc>
          <w:tcPr>
            <w:tcW w:w="6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Cs w:val="28"/>
                <w:lang w:eastAsia="ru-RU"/>
              </w:rPr>
            </w:pPr>
            <w:r w:rsidRPr="00E74E0D">
              <w:rPr>
                <w:rFonts w:eastAsia="Times New Roman"/>
                <w:color w:val="2D2D2D"/>
                <w:szCs w:val="28"/>
                <w:lang w:eastAsia="ru-RU"/>
              </w:rPr>
              <w:t>Наименьшее возвышение поверхности покрытия, м, в пределах дорожно-климатических зон</w:t>
            </w:r>
          </w:p>
        </w:tc>
      </w:tr>
      <w:tr w:rsidR="00E74E0D" w:rsidRPr="00E74E0D" w:rsidTr="00E74E0D"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II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III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IV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V</w:t>
            </w:r>
          </w:p>
        </w:tc>
      </w:tr>
      <w:tr w:rsidR="00E74E0D" w:rsidRPr="00E74E0D" w:rsidTr="00E74E0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Песок мелкий, супесь легкая крупная, супесь легкая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u w:val="single"/>
                <w:lang w:eastAsia="ru-RU"/>
              </w:rPr>
              <w:t>1,1</w:t>
            </w: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br/>
              <w:t>0,9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u w:val="single"/>
                <w:lang w:eastAsia="ru-RU"/>
              </w:rPr>
              <w:t>0,9</w:t>
            </w: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br/>
              <w:t>0,7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u w:val="single"/>
                <w:lang w:eastAsia="ru-RU"/>
              </w:rPr>
              <w:t>0,75</w:t>
            </w: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br/>
              <w:t>0,55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u w:val="single"/>
                <w:lang w:eastAsia="ru-RU"/>
              </w:rPr>
              <w:t>0,5</w:t>
            </w: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br/>
              <w:t>0,3</w:t>
            </w:r>
          </w:p>
        </w:tc>
      </w:tr>
      <w:tr w:rsidR="00E74E0D" w:rsidRPr="00E74E0D" w:rsidTr="00E74E0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Песок пылеватый, супесь пылеватая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u w:val="single"/>
                <w:lang w:eastAsia="ru-RU"/>
              </w:rPr>
              <w:t>1,5</w:t>
            </w: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br/>
              <w:t>1,2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u w:val="single"/>
                <w:lang w:eastAsia="ru-RU"/>
              </w:rPr>
              <w:t>1,2</w:t>
            </w: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br/>
              <w:t>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u w:val="single"/>
                <w:lang w:eastAsia="ru-RU"/>
              </w:rPr>
              <w:t>1,1</w:t>
            </w: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br/>
              <w:t>0,8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u w:val="single"/>
                <w:lang w:eastAsia="ru-RU"/>
              </w:rPr>
              <w:t>0,8</w:t>
            </w: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br/>
              <w:t>0,5</w:t>
            </w:r>
          </w:p>
        </w:tc>
      </w:tr>
      <w:tr w:rsidR="00E74E0D" w:rsidRPr="00E74E0D" w:rsidTr="00E74E0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Суглинок легкий, суглинок тяжелый, глины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u w:val="single"/>
                <w:lang w:eastAsia="ru-RU"/>
              </w:rPr>
              <w:t>2,2</w:t>
            </w: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br/>
              <w:t>1,6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u w:val="single"/>
                <w:lang w:eastAsia="ru-RU"/>
              </w:rPr>
              <w:t>1,8</w:t>
            </w: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br/>
              <w:t>1,4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u w:val="single"/>
                <w:lang w:eastAsia="ru-RU"/>
              </w:rPr>
              <w:t>1,5</w:t>
            </w: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br/>
              <w:t>1,1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u w:val="single"/>
                <w:lang w:eastAsia="ru-RU"/>
              </w:rPr>
              <w:t>1,1</w:t>
            </w: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br/>
              <w:t>0,8</w:t>
            </w:r>
          </w:p>
        </w:tc>
      </w:tr>
      <w:tr w:rsidR="00E74E0D" w:rsidRPr="00E74E0D" w:rsidTr="00E74E0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Супесь тяжелая пылеватая, суглинок легкий пылеватый, суглинок тяжелый пылеватый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u w:val="single"/>
                <w:lang w:eastAsia="ru-RU"/>
              </w:rPr>
              <w:t>2,4</w:t>
            </w: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br/>
              <w:t>1,8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u w:val="single"/>
                <w:lang w:eastAsia="ru-RU"/>
              </w:rPr>
              <w:t>2,1</w:t>
            </w: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br/>
              <w:t>1,5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u w:val="single"/>
                <w:lang w:eastAsia="ru-RU"/>
              </w:rPr>
              <w:t>1,8</w:t>
            </w: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br/>
              <w:t>1,3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u w:val="single"/>
                <w:lang w:eastAsia="ru-RU"/>
              </w:rPr>
              <w:t>1,2</w:t>
            </w: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br/>
              <w:t>0,8</w:t>
            </w:r>
          </w:p>
        </w:tc>
      </w:tr>
      <w:tr w:rsidR="00E74E0D" w:rsidRPr="00E74E0D" w:rsidTr="00E74E0D">
        <w:tc>
          <w:tcPr>
            <w:tcW w:w="110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74E0D" w:rsidRPr="00E74E0D" w:rsidRDefault="00E74E0D" w:rsidP="00E74E0D">
            <w:pPr>
              <w:spacing w:after="0" w:line="315" w:lineRule="atLeast"/>
              <w:textAlignment w:val="baseline"/>
              <w:rPr>
                <w:rFonts w:eastAsia="Times New Roman"/>
                <w:color w:val="2D2D2D"/>
                <w:sz w:val="21"/>
                <w:szCs w:val="21"/>
                <w:lang w:eastAsia="ru-RU"/>
              </w:rPr>
            </w:pPr>
            <w:r w:rsidRPr="00E74E0D">
              <w:rPr>
                <w:rFonts w:eastAsia="Times New Roman"/>
                <w:color w:val="2D2D2D"/>
                <w:sz w:val="21"/>
                <w:szCs w:val="21"/>
                <w:lang w:eastAsia="ru-RU"/>
              </w:rPr>
              <w:t>Примечание - В числителе - возвышение поверхности покрытия над уровнем грунтовых вод, верховодки или длительно (более 30 сут) стоящих поверхностных вод, в знаменателе - то же, над поверхностью земли на участках с необеспеченным поверхностным стоком или над уровнем кратковременно (менее 30 сут) стоящих поверхностных вод.</w:t>
            </w:r>
          </w:p>
        </w:tc>
      </w:tr>
    </w:tbl>
    <w:p w:rsidR="00570C0B" w:rsidRDefault="00E74E0D" w:rsidP="001A0349">
      <w:pPr>
        <w:rPr>
          <w:vertAlign w:val="subscript"/>
        </w:rPr>
      </w:pPr>
      <w:r w:rsidRPr="00B1134F">
        <w:rPr>
          <w:sz w:val="24"/>
          <w:szCs w:val="24"/>
        </w:rPr>
        <w:t xml:space="preserve">Минимальное  возвышение   поверхности  покрытия  в </w:t>
      </w:r>
      <w:r w:rsidRPr="00B1134F">
        <w:rPr>
          <w:sz w:val="24"/>
          <w:szCs w:val="24"/>
          <w:lang w:val="en-US"/>
        </w:rPr>
        <w:t>I</w:t>
      </w:r>
      <w:r w:rsidRPr="00B1134F">
        <w:rPr>
          <w:sz w:val="24"/>
          <w:szCs w:val="24"/>
        </w:rPr>
        <w:t xml:space="preserve">  дорожно- климатической   зоне </w:t>
      </w:r>
      <w:r w:rsidR="00397115" w:rsidRPr="00B1134F">
        <w:rPr>
          <w:sz w:val="24"/>
          <w:szCs w:val="24"/>
        </w:rPr>
        <w:t xml:space="preserve"> устанавливают   на  основе  теплотехнических  расчетов, но  не  менее норм  для  </w:t>
      </w:r>
      <w:r w:rsidR="00397115" w:rsidRPr="00B1134F">
        <w:rPr>
          <w:sz w:val="24"/>
          <w:szCs w:val="24"/>
          <w:lang w:val="en-US"/>
        </w:rPr>
        <w:t>II</w:t>
      </w:r>
      <w:r w:rsidR="00397115" w:rsidRPr="00B1134F">
        <w:rPr>
          <w:sz w:val="24"/>
          <w:szCs w:val="24"/>
        </w:rPr>
        <w:t xml:space="preserve">  дорожно- климатической  зоны</w:t>
      </w:r>
      <w:r w:rsidR="00397115">
        <w:t>.</w:t>
      </w:r>
    </w:p>
    <w:p w:rsidR="00397115" w:rsidRPr="00570C0B" w:rsidRDefault="00397115" w:rsidP="00570C0B">
      <w:pPr>
        <w:spacing w:line="240" w:lineRule="auto"/>
        <w:rPr>
          <w:vertAlign w:val="subscript"/>
        </w:rPr>
      </w:pPr>
      <w:r>
        <w:lastRenderedPageBreak/>
        <w:t>2. Высоту насыпи  на  участках дороги,  проходящих  по  открытой местности, по  условию  снегонезаносимости  во время  метелей  следует  определять  расчетом   по  формул</w:t>
      </w:r>
      <w:r w:rsidR="004D746C">
        <w:t>е</w:t>
      </w:r>
    </w:p>
    <w:p w:rsidR="0075195F" w:rsidRDefault="004D746C" w:rsidP="00570C0B">
      <w:pPr>
        <w:spacing w:line="240" w:lineRule="auto"/>
      </w:pPr>
      <w:r w:rsidRPr="00356E66">
        <w:t xml:space="preserve">            </w:t>
      </w:r>
    </w:p>
    <w:p w:rsidR="004D746C" w:rsidRDefault="00570C0B" w:rsidP="00570C0B">
      <w:pPr>
        <w:spacing w:line="240" w:lineRule="auto"/>
        <w:rPr>
          <w:szCs w:val="28"/>
        </w:rPr>
      </w:pPr>
      <w:r>
        <w:t xml:space="preserve">                                       </w:t>
      </w:r>
      <w:r w:rsidR="004D746C" w:rsidRPr="00356E66">
        <w:t xml:space="preserve"> </w:t>
      </w:r>
      <w:r w:rsidR="004D746C">
        <w:rPr>
          <w:lang w:val="en-US"/>
        </w:rPr>
        <w:t>h</w:t>
      </w:r>
      <w:r w:rsidR="004D746C" w:rsidRPr="002A3A07">
        <w:t xml:space="preserve"> = </w:t>
      </w:r>
      <w:r w:rsidR="004D746C">
        <w:rPr>
          <w:lang w:val="en-US"/>
        </w:rPr>
        <w:t>h</w:t>
      </w:r>
      <w:r w:rsidR="004D746C">
        <w:rPr>
          <w:vertAlign w:val="subscript"/>
          <w:lang w:val="en-US"/>
        </w:rPr>
        <w:t>s</w:t>
      </w:r>
      <w:r w:rsidR="004D746C" w:rsidRPr="002A3A07">
        <w:rPr>
          <w:vertAlign w:val="subscript"/>
        </w:rPr>
        <w:t xml:space="preserve"> </w:t>
      </w:r>
      <w:r>
        <w:t>+</w:t>
      </w:r>
      <w:r w:rsidR="004D746C" w:rsidRPr="002A3A07">
        <w:rPr>
          <w:sz w:val="36"/>
        </w:rPr>
        <w:t xml:space="preserve"> </w:t>
      </w:r>
      <w:r w:rsidR="00356E66">
        <w:rPr>
          <w:szCs w:val="28"/>
          <w:lang w:val="en-US"/>
        </w:rPr>
        <w:t>Δ</w:t>
      </w:r>
      <w:r w:rsidR="0075195F">
        <w:rPr>
          <w:szCs w:val="28"/>
          <w:lang w:val="en-US"/>
        </w:rPr>
        <w:t>h</w:t>
      </w:r>
      <w:r w:rsidR="0075195F">
        <w:rPr>
          <w:szCs w:val="28"/>
        </w:rPr>
        <w:t xml:space="preserve">, </w:t>
      </w:r>
    </w:p>
    <w:p w:rsidR="0075195F" w:rsidRDefault="0075195F" w:rsidP="00570C0B">
      <w:pPr>
        <w:spacing w:line="240" w:lineRule="auto"/>
        <w:rPr>
          <w:szCs w:val="28"/>
        </w:rPr>
      </w:pPr>
      <w:r>
        <w:rPr>
          <w:szCs w:val="28"/>
        </w:rPr>
        <w:t xml:space="preserve">где </w:t>
      </w:r>
      <w:r w:rsidR="00570C0B"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  <w:lang w:val="en-US"/>
        </w:rPr>
        <w:t>h</w:t>
      </w:r>
      <w:r w:rsidRPr="0075195F">
        <w:rPr>
          <w:szCs w:val="28"/>
        </w:rPr>
        <w:t xml:space="preserve"> – высота </w:t>
      </w:r>
      <w:r>
        <w:rPr>
          <w:szCs w:val="28"/>
        </w:rPr>
        <w:t xml:space="preserve"> незаносимой  насыпи, м ;</w:t>
      </w:r>
    </w:p>
    <w:p w:rsidR="0075195F" w:rsidRDefault="0075195F" w:rsidP="00570C0B">
      <w:pPr>
        <w:spacing w:line="240" w:lineRule="auto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  <w:lang w:val="en-US"/>
        </w:rPr>
        <w:t>h</w:t>
      </w:r>
      <w:r>
        <w:rPr>
          <w:szCs w:val="28"/>
          <w:vertAlign w:val="subscript"/>
          <w:lang w:val="en-US"/>
        </w:rPr>
        <w:t>s</w:t>
      </w:r>
      <w:r>
        <w:rPr>
          <w:szCs w:val="28"/>
        </w:rPr>
        <w:t xml:space="preserve">  </w:t>
      </w:r>
      <w:r>
        <w:rPr>
          <w:szCs w:val="28"/>
        </w:rPr>
        <w:softHyphen/>
        <w:t>- расчетная высота  снегового покрова  в  месте, где  возводится</w:t>
      </w:r>
      <w:r w:rsidRPr="0075195F">
        <w:rPr>
          <w:szCs w:val="28"/>
          <w:vertAlign w:val="subscript"/>
        </w:rPr>
        <w:t xml:space="preserve"> 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насыпь  с вероятностью  превышения  5%</w:t>
      </w:r>
      <w:r w:rsidR="00F4788C">
        <w:rPr>
          <w:szCs w:val="28"/>
        </w:rPr>
        <w:t>, м. При отсутствии указанных данных  допускается упрощенное  определение  с использованием  метеорологических  справочников ;</w:t>
      </w:r>
    </w:p>
    <w:p w:rsidR="00F4788C" w:rsidRDefault="00E45C0D" w:rsidP="00570C0B">
      <w:pPr>
        <w:spacing w:line="240" w:lineRule="auto"/>
        <w:rPr>
          <w:szCs w:val="28"/>
        </w:rPr>
      </w:pPr>
      <w:r>
        <w:rPr>
          <w:szCs w:val="28"/>
        </w:rPr>
        <w:t xml:space="preserve">      </w:t>
      </w:r>
      <w:r w:rsidR="00356E66">
        <w:rPr>
          <w:szCs w:val="28"/>
        </w:rPr>
        <w:t>Δ</w:t>
      </w:r>
      <w:r w:rsidR="00F4788C">
        <w:rPr>
          <w:szCs w:val="28"/>
          <w:lang w:val="en-US"/>
        </w:rPr>
        <w:t>h</w:t>
      </w:r>
      <w:r w:rsidR="00F4788C" w:rsidRPr="00F4788C">
        <w:rPr>
          <w:szCs w:val="28"/>
        </w:rPr>
        <w:t xml:space="preserve">-  </w:t>
      </w:r>
      <w:r w:rsidR="00F4788C">
        <w:rPr>
          <w:szCs w:val="28"/>
        </w:rPr>
        <w:t>возвышение  бровки насыпи  над  расчетным уровнем  снегового покрова,  необходимое  для ее  незаносимости, м.</w:t>
      </w:r>
    </w:p>
    <w:p w:rsidR="00152B6D" w:rsidRDefault="00152B6D" w:rsidP="00570C0B">
      <w:pPr>
        <w:spacing w:line="240" w:lineRule="auto"/>
        <w:rPr>
          <w:szCs w:val="28"/>
        </w:rPr>
      </w:pPr>
      <w:r>
        <w:rPr>
          <w:szCs w:val="28"/>
        </w:rPr>
        <w:t xml:space="preserve">                             </w:t>
      </w:r>
      <w:r w:rsidR="00356E66">
        <w:rPr>
          <w:szCs w:val="28"/>
        </w:rPr>
        <w:t xml:space="preserve">  </w:t>
      </w:r>
      <w:r>
        <w:rPr>
          <w:szCs w:val="28"/>
        </w:rPr>
        <w:t xml:space="preserve">1,2 – для дорог </w:t>
      </w:r>
      <w:r>
        <w:rPr>
          <w:szCs w:val="28"/>
          <w:lang w:val="en-US"/>
        </w:rPr>
        <w:t>I</w:t>
      </w:r>
      <w:r w:rsidRPr="00152B6D">
        <w:rPr>
          <w:szCs w:val="28"/>
        </w:rPr>
        <w:t xml:space="preserve"> </w:t>
      </w:r>
      <w:r>
        <w:rPr>
          <w:szCs w:val="28"/>
        </w:rPr>
        <w:t xml:space="preserve"> категории,</w:t>
      </w:r>
    </w:p>
    <w:p w:rsidR="00152B6D" w:rsidRPr="00F4788C" w:rsidRDefault="00152B6D" w:rsidP="00570C0B">
      <w:pPr>
        <w:spacing w:line="240" w:lineRule="auto"/>
        <w:rPr>
          <w:szCs w:val="28"/>
        </w:rPr>
      </w:pPr>
      <w:r>
        <w:rPr>
          <w:szCs w:val="28"/>
        </w:rPr>
        <w:t xml:space="preserve">                             </w:t>
      </w:r>
      <w:r w:rsidRPr="002A3A07">
        <w:rPr>
          <w:szCs w:val="28"/>
        </w:rPr>
        <w:t xml:space="preserve"> </w:t>
      </w:r>
      <w:r>
        <w:rPr>
          <w:szCs w:val="28"/>
        </w:rPr>
        <w:t xml:space="preserve"> 0,7 – для дорог</w:t>
      </w:r>
      <w:r w:rsidRPr="00152B6D">
        <w:rPr>
          <w:szCs w:val="28"/>
        </w:rPr>
        <w:t xml:space="preserve"> </w:t>
      </w:r>
      <w:r>
        <w:rPr>
          <w:szCs w:val="28"/>
          <w:lang w:val="en-US"/>
        </w:rPr>
        <w:t>II</w:t>
      </w:r>
      <w:r>
        <w:rPr>
          <w:szCs w:val="28"/>
        </w:rPr>
        <w:t xml:space="preserve">  категории,</w:t>
      </w:r>
    </w:p>
    <w:p w:rsidR="0075195F" w:rsidRDefault="00152B6D" w:rsidP="00570C0B">
      <w:pPr>
        <w:spacing w:line="240" w:lineRule="auto"/>
        <w:rPr>
          <w:szCs w:val="28"/>
        </w:rPr>
      </w:pPr>
      <w:r>
        <w:rPr>
          <w:szCs w:val="28"/>
        </w:rPr>
        <w:t xml:space="preserve">                               0,6– для дорог</w:t>
      </w:r>
      <w:r w:rsidRPr="00152B6D"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  <w:lang w:val="en-US"/>
        </w:rPr>
        <w:t>III</w:t>
      </w:r>
      <w:r>
        <w:rPr>
          <w:szCs w:val="28"/>
        </w:rPr>
        <w:t xml:space="preserve"> категории,</w:t>
      </w:r>
    </w:p>
    <w:p w:rsidR="00B1134F" w:rsidRDefault="00152B6D" w:rsidP="00B1134F">
      <w:pPr>
        <w:spacing w:line="240" w:lineRule="auto"/>
        <w:rPr>
          <w:szCs w:val="28"/>
        </w:rPr>
      </w:pPr>
      <w:r>
        <w:rPr>
          <w:szCs w:val="28"/>
        </w:rPr>
        <w:t xml:space="preserve">                               0,5– для дорог</w:t>
      </w:r>
      <w:r w:rsidRPr="00152B6D">
        <w:rPr>
          <w:szCs w:val="28"/>
        </w:rPr>
        <w:t xml:space="preserve">  </w:t>
      </w:r>
      <w:r>
        <w:rPr>
          <w:szCs w:val="28"/>
          <w:lang w:val="en-US"/>
        </w:rPr>
        <w:t>IV</w:t>
      </w:r>
      <w:r>
        <w:rPr>
          <w:szCs w:val="28"/>
        </w:rPr>
        <w:t xml:space="preserve"> категории</w:t>
      </w:r>
    </w:p>
    <w:p w:rsidR="00570C0B" w:rsidRDefault="00B1134F" w:rsidP="00B1134F">
      <w:pPr>
        <w:spacing w:line="240" w:lineRule="auto"/>
        <w:rPr>
          <w:szCs w:val="28"/>
        </w:rPr>
      </w:pPr>
      <w:r>
        <w:rPr>
          <w:szCs w:val="28"/>
        </w:rPr>
        <w:t xml:space="preserve">                              </w:t>
      </w:r>
      <w:r w:rsidR="00152B6D">
        <w:rPr>
          <w:szCs w:val="28"/>
        </w:rPr>
        <w:t xml:space="preserve"> 0,4– для дорог </w:t>
      </w:r>
      <w:r w:rsidR="00152B6D">
        <w:rPr>
          <w:szCs w:val="28"/>
          <w:lang w:val="en-US"/>
        </w:rPr>
        <w:t>V</w:t>
      </w:r>
      <w:r w:rsidR="00152B6D">
        <w:rPr>
          <w:szCs w:val="28"/>
        </w:rPr>
        <w:t xml:space="preserve"> категории.</w:t>
      </w:r>
      <w:r w:rsidR="00BA24A9">
        <w:rPr>
          <w:noProof/>
          <w:szCs w:val="28"/>
          <w:lang w:eastAsia="ru-RU"/>
        </w:rPr>
        <w:drawing>
          <wp:inline distT="0" distB="0" distL="0" distR="0">
            <wp:extent cx="4487691" cy="3363140"/>
            <wp:effectExtent l="19050" t="0" r="8109" b="0"/>
            <wp:docPr id="2" name="Рисунок 2" descr="C:\Users\User\AppData\Local\Temp\Rar$DIa0.637\IMG_2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637\IMG_29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393" cy="336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6B0" w:rsidRPr="00570C0B" w:rsidRDefault="008966B0" w:rsidP="00570C0B">
      <w:pPr>
        <w:jc w:val="center"/>
        <w:rPr>
          <w:szCs w:val="28"/>
        </w:rPr>
      </w:pPr>
      <w:r w:rsidRPr="008966B0">
        <w:rPr>
          <w:sz w:val="24"/>
          <w:szCs w:val="24"/>
        </w:rPr>
        <w:t xml:space="preserve">Рис. 2 Схемы к определению рекомендуемой отметки на участках: </w:t>
      </w:r>
      <w:r w:rsidR="006229D0">
        <w:rPr>
          <w:sz w:val="24"/>
          <w:szCs w:val="24"/>
        </w:rPr>
        <w:t xml:space="preserve">                                         а) снегозаносимых; б,в,г,д)  неподтопляемости  дороги в зависимости от уровня воды</w:t>
      </w:r>
    </w:p>
    <w:p w:rsidR="002A3A07" w:rsidRDefault="002A3A07" w:rsidP="00152B6D">
      <w:pPr>
        <w:rPr>
          <w:szCs w:val="28"/>
        </w:rPr>
      </w:pPr>
      <w:r>
        <w:rPr>
          <w:szCs w:val="28"/>
        </w:rPr>
        <w:lastRenderedPageBreak/>
        <w:t>Наиболее  сложно  назначать  отметки и  наносить проектную линию  на участках  у  искусственных  сооружений.  Бровка  земляного  полотна  на  подходах к  малым  мостам  и  трубам  должна  возвышаться  над расчетным   горизонтом  воды  с учетом  подпора не менее  чем  на  0,5м  при  безнапорном  режиме  работы  сооружения  и не менее  чем  на  1,0м при  напорном  и  полунапорном  режимах.</w:t>
      </w:r>
    </w:p>
    <w:p w:rsidR="002A3A07" w:rsidRDefault="002A3A07" w:rsidP="00152B6D">
      <w:pPr>
        <w:rPr>
          <w:szCs w:val="28"/>
        </w:rPr>
      </w:pPr>
      <w:r>
        <w:rPr>
          <w:szCs w:val="28"/>
        </w:rPr>
        <w:t>Прежде  чем  приступить  к назначению  контрольной  отметки  в  месте перехода  через  сухой  лог</w:t>
      </w:r>
      <w:r w:rsidR="000E3B0A">
        <w:rPr>
          <w:szCs w:val="28"/>
        </w:rPr>
        <w:t>, необходимо  выполнить  гидравлический  расчет, назначить  диаметр  отверстия  водопропускной  трубы  и  определить  режим  ее  работы. Если  площадь  водосборного  бассейна  незначительна, отверстие безрасчетной  водопропускной  трубы назначается  равным  1,0м</w:t>
      </w:r>
      <w:r w:rsidR="00356E66">
        <w:rPr>
          <w:szCs w:val="28"/>
        </w:rPr>
        <w:t>.</w:t>
      </w:r>
    </w:p>
    <w:p w:rsidR="00356E66" w:rsidRDefault="00356E66" w:rsidP="00152B6D">
      <w:pPr>
        <w:rPr>
          <w:szCs w:val="28"/>
        </w:rPr>
      </w:pPr>
      <w:r>
        <w:rPr>
          <w:szCs w:val="28"/>
        </w:rPr>
        <w:t xml:space="preserve">     Контрольная отметка  над  трубами </w:t>
      </w:r>
    </w:p>
    <w:p w:rsidR="002F0EF6" w:rsidRPr="002F0EF6" w:rsidRDefault="00356E66" w:rsidP="002F0EF6">
      <w:pPr>
        <w:rPr>
          <w:szCs w:val="28"/>
        </w:rPr>
      </w:pPr>
      <w:r w:rsidRPr="002F0EF6">
        <w:rPr>
          <w:szCs w:val="28"/>
        </w:rPr>
        <w:t xml:space="preserve">                           </w:t>
      </w:r>
      <w:r w:rsidR="002F0EF6">
        <w:rPr>
          <w:szCs w:val="28"/>
          <w:lang w:val="en-US"/>
        </w:rPr>
        <w:t>h</w:t>
      </w:r>
      <w:r w:rsidR="002F0EF6" w:rsidRPr="002F0EF6">
        <w:rPr>
          <w:szCs w:val="28"/>
        </w:rPr>
        <w:t xml:space="preserve"> = </w:t>
      </w:r>
      <w:r w:rsidR="002F0EF6">
        <w:rPr>
          <w:szCs w:val="28"/>
          <w:lang w:val="en-US"/>
        </w:rPr>
        <w:t>d</w:t>
      </w:r>
      <w:r w:rsidR="002F0EF6" w:rsidRPr="002F0EF6">
        <w:rPr>
          <w:szCs w:val="28"/>
        </w:rPr>
        <w:t xml:space="preserve"> + </w:t>
      </w:r>
      <w:r w:rsidR="002F0EF6">
        <w:rPr>
          <w:szCs w:val="28"/>
          <w:lang w:val="en-US"/>
        </w:rPr>
        <w:t>δ</w:t>
      </w:r>
      <w:r w:rsidR="002F0EF6" w:rsidRPr="002F0EF6">
        <w:rPr>
          <w:szCs w:val="28"/>
        </w:rPr>
        <w:t xml:space="preserve"> + </w:t>
      </w:r>
      <w:r w:rsidR="002F0EF6">
        <w:rPr>
          <w:szCs w:val="28"/>
          <w:lang w:val="en-US"/>
        </w:rPr>
        <w:t>Δh</w:t>
      </w:r>
      <w:r w:rsidR="002F0EF6">
        <w:rPr>
          <w:szCs w:val="28"/>
        </w:rPr>
        <w:t xml:space="preserve">, </w:t>
      </w:r>
    </w:p>
    <w:p w:rsidR="002F0EF6" w:rsidRDefault="002F0EF6" w:rsidP="002F0EF6">
      <w:pPr>
        <w:rPr>
          <w:szCs w:val="28"/>
        </w:rPr>
      </w:pPr>
      <w:r>
        <w:rPr>
          <w:szCs w:val="28"/>
        </w:rPr>
        <w:t xml:space="preserve">где  </w:t>
      </w:r>
      <w:r>
        <w:rPr>
          <w:szCs w:val="28"/>
          <w:lang w:val="en-US"/>
        </w:rPr>
        <w:t>d</w:t>
      </w:r>
      <w:r w:rsidRPr="002F0EF6">
        <w:rPr>
          <w:szCs w:val="28"/>
        </w:rPr>
        <w:t xml:space="preserve">  - </w:t>
      </w:r>
      <w:r>
        <w:rPr>
          <w:szCs w:val="28"/>
        </w:rPr>
        <w:t>диаметр трубы,  м;</w:t>
      </w:r>
    </w:p>
    <w:p w:rsidR="002F0EF6" w:rsidRPr="002F0EF6" w:rsidRDefault="00570C0B" w:rsidP="002F0EF6">
      <w:pPr>
        <w:rPr>
          <w:szCs w:val="28"/>
        </w:rPr>
      </w:pPr>
      <w:r>
        <w:rPr>
          <w:szCs w:val="28"/>
        </w:rPr>
        <w:t xml:space="preserve">      </w:t>
      </w:r>
      <w:r w:rsidR="002F0EF6">
        <w:rPr>
          <w:szCs w:val="28"/>
        </w:rPr>
        <w:t xml:space="preserve"> </w:t>
      </w:r>
      <w:r w:rsidR="002F0EF6">
        <w:rPr>
          <w:szCs w:val="28"/>
          <w:lang w:val="en-US"/>
        </w:rPr>
        <w:t>δ</w:t>
      </w:r>
      <w:r w:rsidR="002F0EF6">
        <w:rPr>
          <w:szCs w:val="28"/>
        </w:rPr>
        <w:t xml:space="preserve"> -  толщина  стенки трубы,   </w:t>
      </w:r>
      <w:r w:rsidR="002F0EF6">
        <w:rPr>
          <w:szCs w:val="28"/>
          <w:lang w:val="en-US"/>
        </w:rPr>
        <w:t>δ</w:t>
      </w:r>
      <w:r w:rsidR="002F0EF6">
        <w:rPr>
          <w:szCs w:val="28"/>
        </w:rPr>
        <w:t xml:space="preserve"> = 0,15 – 0,20 м;</w:t>
      </w:r>
    </w:p>
    <w:p w:rsidR="00356E66" w:rsidRDefault="002F0EF6" w:rsidP="00152B6D">
      <w:pPr>
        <w:rPr>
          <w:szCs w:val="28"/>
        </w:rPr>
      </w:pPr>
      <w:r>
        <w:rPr>
          <w:szCs w:val="28"/>
        </w:rPr>
        <w:t xml:space="preserve">   </w:t>
      </w:r>
      <w:r w:rsidR="007C1637">
        <w:rPr>
          <w:szCs w:val="28"/>
        </w:rPr>
        <w:t xml:space="preserve">  </w:t>
      </w:r>
      <w:r w:rsidR="00570C0B">
        <w:rPr>
          <w:szCs w:val="28"/>
        </w:rPr>
        <w:t xml:space="preserve"> </w:t>
      </w:r>
      <w:r>
        <w:rPr>
          <w:szCs w:val="28"/>
          <w:lang w:val="en-US"/>
        </w:rPr>
        <w:t>Δh</w:t>
      </w:r>
      <w:r>
        <w:rPr>
          <w:szCs w:val="28"/>
        </w:rPr>
        <w:t>- минимальная  засыпка  над  трубой, равна толщине  дорожной  одежды,  но не менее  0,5м.</w:t>
      </w:r>
    </w:p>
    <w:p w:rsidR="00BA24A9" w:rsidRDefault="00BA24A9" w:rsidP="00BA24A9">
      <w:pPr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067175" cy="2314575"/>
            <wp:effectExtent l="0" t="0" r="0" b="0"/>
            <wp:docPr id="1" name="Рисунок 1" descr="C:\Users\User\AppData\Local\Temp\Rar$DIa0.222\IMG_2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222\IMG_29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4A9" w:rsidRDefault="008966B0" w:rsidP="008966B0">
      <w:pPr>
        <w:jc w:val="center"/>
        <w:rPr>
          <w:szCs w:val="28"/>
        </w:rPr>
      </w:pPr>
      <w:r w:rsidRPr="008966B0">
        <w:rPr>
          <w:sz w:val="24"/>
          <w:szCs w:val="24"/>
        </w:rPr>
        <w:t xml:space="preserve">Рис. </w:t>
      </w:r>
      <w:r>
        <w:rPr>
          <w:sz w:val="24"/>
          <w:szCs w:val="24"/>
        </w:rPr>
        <w:t>3</w:t>
      </w:r>
      <w:r w:rsidRPr="008966B0">
        <w:rPr>
          <w:sz w:val="24"/>
          <w:szCs w:val="24"/>
        </w:rPr>
        <w:t xml:space="preserve"> Схем</w:t>
      </w:r>
      <w:r>
        <w:rPr>
          <w:sz w:val="24"/>
          <w:szCs w:val="24"/>
        </w:rPr>
        <w:t>а</w:t>
      </w:r>
      <w:r w:rsidRPr="008966B0">
        <w:rPr>
          <w:sz w:val="24"/>
          <w:szCs w:val="24"/>
        </w:rPr>
        <w:t xml:space="preserve"> к определению отметки </w:t>
      </w:r>
      <w:r>
        <w:rPr>
          <w:sz w:val="24"/>
          <w:szCs w:val="24"/>
        </w:rPr>
        <w:t xml:space="preserve">контрольной точки </w:t>
      </w:r>
      <w:r w:rsidRPr="008966B0">
        <w:rPr>
          <w:sz w:val="24"/>
          <w:szCs w:val="24"/>
        </w:rPr>
        <w:t>на</w:t>
      </w:r>
      <w:r>
        <w:rPr>
          <w:sz w:val="24"/>
          <w:szCs w:val="24"/>
        </w:rPr>
        <w:t>д водопропускной трубой</w:t>
      </w:r>
    </w:p>
    <w:p w:rsidR="00D92525" w:rsidRDefault="00D92525" w:rsidP="00152B6D">
      <w:pPr>
        <w:rPr>
          <w:szCs w:val="28"/>
        </w:rPr>
      </w:pPr>
      <w:r>
        <w:rPr>
          <w:szCs w:val="28"/>
        </w:rPr>
        <w:t>Контрольная  отметка в месте перехода  через постоянный водоток ( на несудоходных реках) – отметка  моста  определяется  по ф</w:t>
      </w:r>
      <w:bookmarkStart w:id="0" w:name="_GoBack"/>
      <w:bookmarkEnd w:id="0"/>
      <w:r>
        <w:rPr>
          <w:szCs w:val="28"/>
        </w:rPr>
        <w:t>ормуле</w:t>
      </w:r>
    </w:p>
    <w:p w:rsidR="00D92525" w:rsidRDefault="00D92525" w:rsidP="00152B6D">
      <w:pPr>
        <w:rPr>
          <w:szCs w:val="28"/>
        </w:rPr>
      </w:pPr>
      <w:r>
        <w:rPr>
          <w:szCs w:val="28"/>
        </w:rPr>
        <w:t xml:space="preserve">           Н</w:t>
      </w:r>
      <w:r>
        <w:rPr>
          <w:szCs w:val="28"/>
          <w:vertAlign w:val="subscript"/>
        </w:rPr>
        <w:t xml:space="preserve">м </w:t>
      </w:r>
      <w:r>
        <w:rPr>
          <w:szCs w:val="28"/>
        </w:rPr>
        <w:t xml:space="preserve"> = Н</w:t>
      </w:r>
      <w:r>
        <w:rPr>
          <w:szCs w:val="28"/>
          <w:vertAlign w:val="subscript"/>
        </w:rPr>
        <w:t xml:space="preserve">гвв </w:t>
      </w:r>
      <w:r>
        <w:rPr>
          <w:szCs w:val="28"/>
        </w:rPr>
        <w:t xml:space="preserve"> + Н + </w:t>
      </w:r>
      <w:r>
        <w:rPr>
          <w:szCs w:val="28"/>
          <w:lang w:val="en-US"/>
        </w:rPr>
        <w:t>Δh</w:t>
      </w:r>
      <w:r>
        <w:rPr>
          <w:szCs w:val="28"/>
        </w:rPr>
        <w:t xml:space="preserve"> + </w:t>
      </w:r>
      <w:r>
        <w:rPr>
          <w:szCs w:val="28"/>
          <w:lang w:val="en-US"/>
        </w:rPr>
        <w:t>h</w:t>
      </w:r>
      <w:r>
        <w:rPr>
          <w:szCs w:val="28"/>
          <w:vertAlign w:val="subscript"/>
        </w:rPr>
        <w:t xml:space="preserve">пр.стр.  </w:t>
      </w:r>
      <w:r>
        <w:rPr>
          <w:sz w:val="32"/>
          <w:szCs w:val="28"/>
        </w:rPr>
        <w:t xml:space="preserve">+ </w:t>
      </w:r>
      <w:r>
        <w:rPr>
          <w:szCs w:val="28"/>
          <w:lang w:val="en-US"/>
        </w:rPr>
        <w:t>h</w:t>
      </w:r>
      <w:r>
        <w:rPr>
          <w:szCs w:val="28"/>
          <w:vertAlign w:val="subscript"/>
        </w:rPr>
        <w:t>м</w:t>
      </w:r>
      <w:r w:rsidR="005B08BF">
        <w:rPr>
          <w:szCs w:val="28"/>
          <w:vertAlign w:val="subscript"/>
        </w:rPr>
        <w:t>.</w:t>
      </w:r>
      <w:r>
        <w:rPr>
          <w:szCs w:val="28"/>
          <w:vertAlign w:val="subscript"/>
        </w:rPr>
        <w:t>п</w:t>
      </w:r>
      <w:r w:rsidR="005B08BF">
        <w:rPr>
          <w:szCs w:val="28"/>
          <w:vertAlign w:val="subscript"/>
        </w:rPr>
        <w:t>.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,</w:t>
      </w:r>
    </w:p>
    <w:p w:rsidR="00D92525" w:rsidRDefault="00D92525" w:rsidP="00152B6D">
      <w:pPr>
        <w:rPr>
          <w:szCs w:val="28"/>
        </w:rPr>
      </w:pPr>
      <w:r>
        <w:rPr>
          <w:szCs w:val="28"/>
        </w:rPr>
        <w:t>Где  Н</w:t>
      </w:r>
      <w:r>
        <w:rPr>
          <w:szCs w:val="28"/>
          <w:vertAlign w:val="subscript"/>
        </w:rPr>
        <w:t xml:space="preserve">гвв  </w:t>
      </w:r>
      <w:r>
        <w:rPr>
          <w:szCs w:val="28"/>
        </w:rPr>
        <w:t>-</w:t>
      </w:r>
      <w:r w:rsidR="003C23C8">
        <w:rPr>
          <w:szCs w:val="28"/>
        </w:rPr>
        <w:t xml:space="preserve"> отметка расчетного горизонта высоких вод, м;</w:t>
      </w:r>
    </w:p>
    <w:p w:rsidR="003C23C8" w:rsidRDefault="003C23C8" w:rsidP="00152B6D">
      <w:pPr>
        <w:rPr>
          <w:szCs w:val="28"/>
        </w:rPr>
      </w:pPr>
      <w:r>
        <w:rPr>
          <w:szCs w:val="28"/>
        </w:rPr>
        <w:lastRenderedPageBreak/>
        <w:t xml:space="preserve">        Н – подпор воды перед  мостом, м;</w:t>
      </w:r>
    </w:p>
    <w:p w:rsidR="003C23C8" w:rsidRDefault="003C23C8" w:rsidP="00152B6D">
      <w:pPr>
        <w:rPr>
          <w:szCs w:val="28"/>
        </w:rPr>
      </w:pPr>
      <w:r>
        <w:rPr>
          <w:szCs w:val="28"/>
        </w:rPr>
        <w:t xml:space="preserve">       </w:t>
      </w:r>
      <w:r>
        <w:rPr>
          <w:szCs w:val="28"/>
          <w:lang w:val="en-US"/>
        </w:rPr>
        <w:t>Δh</w:t>
      </w:r>
      <w:r>
        <w:rPr>
          <w:szCs w:val="28"/>
        </w:rPr>
        <w:t xml:space="preserve"> -  наименьшее  возвышение  низа  пролетного  строения над  уровнем  воды  (в обычных  условиях  0,5м,  при  наличии  карчехода  и при  селевых  потоках – 1,0 м), м;</w:t>
      </w:r>
    </w:p>
    <w:p w:rsidR="005B08BF" w:rsidRDefault="003C23C8" w:rsidP="00152B6D">
      <w:pPr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  <w:lang w:val="en-US"/>
        </w:rPr>
        <w:t>h</w:t>
      </w:r>
      <w:r>
        <w:rPr>
          <w:szCs w:val="28"/>
          <w:vertAlign w:val="subscript"/>
        </w:rPr>
        <w:t>пр.стр</w:t>
      </w:r>
      <w:r>
        <w:rPr>
          <w:szCs w:val="28"/>
        </w:rPr>
        <w:t xml:space="preserve"> – конструктивная  высота </w:t>
      </w:r>
      <w:r w:rsidR="005B08BF">
        <w:rPr>
          <w:szCs w:val="28"/>
        </w:rPr>
        <w:t xml:space="preserve"> главной  балки пролетного  строения (</w:t>
      </w:r>
      <w:r w:rsidR="005B08BF">
        <w:rPr>
          <w:szCs w:val="28"/>
          <w:lang w:val="en-US"/>
        </w:rPr>
        <w:t>h</w:t>
      </w:r>
      <w:r w:rsidR="005B08BF">
        <w:rPr>
          <w:szCs w:val="28"/>
          <w:vertAlign w:val="subscript"/>
        </w:rPr>
        <w:t xml:space="preserve">пр.стр. </w:t>
      </w:r>
      <w:r w:rsidR="005B08BF">
        <w:rPr>
          <w:szCs w:val="28"/>
        </w:rPr>
        <w:t>– 0,6… 1,0м), м;</w:t>
      </w:r>
    </w:p>
    <w:p w:rsidR="003C23C8" w:rsidRDefault="005B08BF" w:rsidP="00152B6D">
      <w:pPr>
        <w:rPr>
          <w:szCs w:val="28"/>
        </w:rPr>
      </w:pPr>
      <w:r w:rsidRPr="005B08BF">
        <w:rPr>
          <w:sz w:val="32"/>
          <w:szCs w:val="28"/>
        </w:rPr>
        <w:t xml:space="preserve"> </w:t>
      </w:r>
      <w:r>
        <w:rPr>
          <w:sz w:val="32"/>
          <w:szCs w:val="28"/>
        </w:rPr>
        <w:t xml:space="preserve">      </w:t>
      </w:r>
      <w:r>
        <w:rPr>
          <w:szCs w:val="28"/>
          <w:lang w:val="en-US"/>
        </w:rPr>
        <w:t>h</w:t>
      </w:r>
      <w:r>
        <w:rPr>
          <w:szCs w:val="28"/>
          <w:vertAlign w:val="subscript"/>
        </w:rPr>
        <w:t xml:space="preserve">м.п. </w:t>
      </w:r>
      <w:r>
        <w:rPr>
          <w:szCs w:val="28"/>
        </w:rPr>
        <w:t>– суммарная  толщина  слоев  мостового  полотна, м.</w:t>
      </w:r>
    </w:p>
    <w:p w:rsidR="00B1134F" w:rsidRDefault="00B1134F" w:rsidP="00152B6D">
      <w:pPr>
        <w:rPr>
          <w:szCs w:val="28"/>
        </w:rPr>
      </w:pPr>
    </w:p>
    <w:p w:rsidR="00B1134F" w:rsidRPr="005B08BF" w:rsidRDefault="00B1134F" w:rsidP="00152B6D">
      <w:pPr>
        <w:rPr>
          <w:szCs w:val="28"/>
        </w:rPr>
      </w:pPr>
      <w:r w:rsidRPr="00B77DA6">
        <w:rPr>
          <w:b/>
          <w:szCs w:val="28"/>
        </w:rPr>
        <w:t>Практическое занятие</w:t>
      </w:r>
      <w:r>
        <w:rPr>
          <w:szCs w:val="28"/>
        </w:rPr>
        <w:t>:  продолжение работы над продольным профилем- устанавливаем  рекомендуемую  отметки насыпи,  намечаем проектную линию, определяем уклоны участков.</w:t>
      </w:r>
    </w:p>
    <w:p w:rsidR="005B08BF" w:rsidRPr="005B08BF" w:rsidRDefault="005B08BF" w:rsidP="00152B6D">
      <w:pPr>
        <w:rPr>
          <w:sz w:val="32"/>
          <w:szCs w:val="28"/>
        </w:rPr>
      </w:pPr>
    </w:p>
    <w:p w:rsidR="00152B6D" w:rsidRPr="0075195F" w:rsidRDefault="00152B6D" w:rsidP="00152B6D">
      <w:pPr>
        <w:tabs>
          <w:tab w:val="left" w:pos="2190"/>
        </w:tabs>
        <w:rPr>
          <w:szCs w:val="28"/>
        </w:rPr>
      </w:pPr>
    </w:p>
    <w:sectPr w:rsidR="00152B6D" w:rsidRPr="0075195F" w:rsidSect="008966B0">
      <w:headerReference w:type="default" r:id="rId10"/>
      <w:footerReference w:type="default" r:id="rId11"/>
      <w:pgSz w:w="11906" w:h="16838"/>
      <w:pgMar w:top="887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1A4" w:rsidRDefault="000351A4" w:rsidP="008966B0">
      <w:pPr>
        <w:spacing w:after="0" w:line="240" w:lineRule="auto"/>
      </w:pPr>
      <w:r>
        <w:separator/>
      </w:r>
    </w:p>
  </w:endnote>
  <w:endnote w:type="continuationSeparator" w:id="1">
    <w:p w:rsidR="000351A4" w:rsidRDefault="000351A4" w:rsidP="0089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B0" w:rsidRDefault="008966B0">
    <w:pPr>
      <w:pStyle w:val="a8"/>
    </w:pPr>
  </w:p>
  <w:p w:rsidR="008966B0" w:rsidRDefault="008966B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1A4" w:rsidRDefault="000351A4" w:rsidP="008966B0">
      <w:pPr>
        <w:spacing w:after="0" w:line="240" w:lineRule="auto"/>
      </w:pPr>
      <w:r>
        <w:separator/>
      </w:r>
    </w:p>
  </w:footnote>
  <w:footnote w:type="continuationSeparator" w:id="1">
    <w:p w:rsidR="000351A4" w:rsidRDefault="000351A4" w:rsidP="0089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B0" w:rsidRDefault="008966B0">
    <w:pPr>
      <w:pStyle w:val="a6"/>
    </w:pPr>
  </w:p>
  <w:p w:rsidR="008966B0" w:rsidRDefault="008966B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349"/>
    <w:rsid w:val="000351A4"/>
    <w:rsid w:val="00082EDA"/>
    <w:rsid w:val="000A7A59"/>
    <w:rsid w:val="000D04E3"/>
    <w:rsid w:val="000E3B0A"/>
    <w:rsid w:val="000E5456"/>
    <w:rsid w:val="00152A22"/>
    <w:rsid w:val="00152B6D"/>
    <w:rsid w:val="001927B8"/>
    <w:rsid w:val="001A0349"/>
    <w:rsid w:val="002A3A07"/>
    <w:rsid w:val="002E1B59"/>
    <w:rsid w:val="002F0EF6"/>
    <w:rsid w:val="00356E66"/>
    <w:rsid w:val="00397115"/>
    <w:rsid w:val="003C23C8"/>
    <w:rsid w:val="003E2A69"/>
    <w:rsid w:val="004B054A"/>
    <w:rsid w:val="004D746C"/>
    <w:rsid w:val="005102B0"/>
    <w:rsid w:val="00570C0B"/>
    <w:rsid w:val="005B08BF"/>
    <w:rsid w:val="006229D0"/>
    <w:rsid w:val="006447E9"/>
    <w:rsid w:val="007205EF"/>
    <w:rsid w:val="0075195F"/>
    <w:rsid w:val="00755BDF"/>
    <w:rsid w:val="00775100"/>
    <w:rsid w:val="007B11EF"/>
    <w:rsid w:val="007C1637"/>
    <w:rsid w:val="008966B0"/>
    <w:rsid w:val="008F2979"/>
    <w:rsid w:val="008F6740"/>
    <w:rsid w:val="009409BA"/>
    <w:rsid w:val="00941EB1"/>
    <w:rsid w:val="009865A0"/>
    <w:rsid w:val="009F3355"/>
    <w:rsid w:val="009F7E17"/>
    <w:rsid w:val="00AD20B3"/>
    <w:rsid w:val="00B1134F"/>
    <w:rsid w:val="00B77DA6"/>
    <w:rsid w:val="00BA24A9"/>
    <w:rsid w:val="00BD7C39"/>
    <w:rsid w:val="00C019DB"/>
    <w:rsid w:val="00CC4A8A"/>
    <w:rsid w:val="00CE1EF3"/>
    <w:rsid w:val="00D03DFA"/>
    <w:rsid w:val="00D922CD"/>
    <w:rsid w:val="00D92525"/>
    <w:rsid w:val="00E1230C"/>
    <w:rsid w:val="00E45C0D"/>
    <w:rsid w:val="00E61348"/>
    <w:rsid w:val="00E74E0D"/>
    <w:rsid w:val="00EE34DB"/>
    <w:rsid w:val="00F4788C"/>
    <w:rsid w:val="00F94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E74E0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Placeholder Text"/>
    <w:basedOn w:val="a0"/>
    <w:uiPriority w:val="99"/>
    <w:semiHidden/>
    <w:rsid w:val="000E3B0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E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B0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96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66B0"/>
  </w:style>
  <w:style w:type="paragraph" w:styleId="a8">
    <w:name w:val="footer"/>
    <w:basedOn w:val="a"/>
    <w:link w:val="a9"/>
    <w:uiPriority w:val="99"/>
    <w:unhideWhenUsed/>
    <w:rsid w:val="00896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66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71A1B-30A7-4192-A632-0268BBAE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Гордиенко</dc:creator>
  <cp:lastModifiedBy>Гордиенко</cp:lastModifiedBy>
  <cp:revision>2</cp:revision>
  <dcterms:created xsi:type="dcterms:W3CDTF">2020-10-18T01:13:00Z</dcterms:created>
  <dcterms:modified xsi:type="dcterms:W3CDTF">2020-10-18T01:13:00Z</dcterms:modified>
</cp:coreProperties>
</file>