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3D89C" w14:textId="0B0CA371" w:rsidR="008F05D2" w:rsidRPr="00F00340" w:rsidRDefault="00F00340" w:rsidP="00F00340">
      <w:pPr>
        <w:spacing w:after="0"/>
        <w:ind w:left="260" w:right="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F003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ЛЕКЦИЯ  14.11.20.</w:t>
      </w:r>
      <w:proofErr w:type="gramEnd"/>
      <w:r w:rsidRPr="00F003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Выполнить конспект лекции.</w:t>
      </w:r>
    </w:p>
    <w:p w14:paraId="445D8C31" w14:textId="77777777" w:rsidR="008F05D2" w:rsidRDefault="008F05D2" w:rsidP="008F05D2">
      <w:pPr>
        <w:spacing w:after="0"/>
        <w:ind w:left="260"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766AED" w14:textId="77777777" w:rsidR="008F05D2" w:rsidRDefault="008F05D2" w:rsidP="008F05D2">
      <w:pPr>
        <w:spacing w:after="0"/>
        <w:ind w:left="260"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DE038A" w14:textId="53D8064C" w:rsidR="008F05D2" w:rsidRPr="00611CB9" w:rsidRDefault="008F05D2" w:rsidP="008F05D2">
      <w:pPr>
        <w:spacing w:after="0"/>
        <w:ind w:left="260" w:right="20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4.2. Теплофизические основы управления температурным режимом грунтов основания автодороги</w:t>
      </w:r>
    </w:p>
    <w:p w14:paraId="3A3A9143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73E37FCB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Стабильность массива грунтов основания автодороги в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криолитозоне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зависит главным образом от знакопеременных изменений температурного режима грунтов в слое годовых его колебаний, в особенности в его верхней части – в слое сезонного оттаивания или промерзания грунтов, где они вызывают развитие сезонных и многолетних осадок и пучения грунтов. Знание закономерностей формирования температурного режима грунтов в слое годовых его колебаний позволяет управлять им и соответственно воздействовать в нужном направлении на процессы пучения или осадки грунтов при их промерзании или оттаивании.</w:t>
      </w:r>
    </w:p>
    <w:p w14:paraId="79AA8162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1D328982" w14:textId="77777777" w:rsidR="008F05D2" w:rsidRPr="00611CB9" w:rsidRDefault="008F05D2" w:rsidP="008F05D2">
      <w:pPr>
        <w:spacing w:after="0"/>
        <w:ind w:left="260" w:right="20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закономерности формирования температурного режима горных пород в слое годовых колебаний температуры</w:t>
      </w:r>
    </w:p>
    <w:p w14:paraId="36D21246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3413DD4C" w14:textId="6F496A13" w:rsidR="008F05D2" w:rsidRPr="00611CB9" w:rsidRDefault="008F05D2" w:rsidP="00CE2D6E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Температурный режим верхних горизонтов земной коры, в частности, в слое годовых его колебаний (рис. 4.3), определяется структурой радиационно-теплового баланса поверхности, тепловым влиянием наземных покровов (снег, растительность, вода),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теплопотоком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из недр земли, а также процессами тепломассопереноса в массиве горных пород </w:t>
      </w:r>
      <w:r w:rsidR="00CE2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[</w:t>
      </w:r>
      <w:bookmarkStart w:id="0" w:name="_Hlk56082847"/>
      <w:r w:rsidR="00CE2D6E"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Ершов Э</w:t>
      </w:r>
      <w:r w:rsidR="00CE2D6E" w:rsidRPr="00611C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D6E"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CE2D6E" w:rsidRPr="00611C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0"/>
      <w:r w:rsidR="00CE2D6E" w:rsidRPr="00611CB9">
        <w:rPr>
          <w:rFonts w:ascii="Times New Roman" w:eastAsia="Times New Roman" w:hAnsi="Times New Roman" w:cs="Times New Roman"/>
          <w:sz w:val="24"/>
          <w:szCs w:val="24"/>
        </w:rPr>
        <w:t>Общая геокриология: Учебник. – М.: Изд-во МГУ, 2002.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791D8C97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7DA770D7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Основными параметрами, характеризующими температурный режим горных пород в слое годовых его колебаний, являются среднегодовая температура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 и амплитуда годовых колебаний температур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 на следующих 4 уровнях:</w:t>
      </w:r>
    </w:p>
    <w:p w14:paraId="51EF33B6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609FB9B0" w14:textId="77777777" w:rsidR="008F05D2" w:rsidRPr="00611CB9" w:rsidRDefault="008F05D2" w:rsidP="008F05D2">
      <w:pPr>
        <w:numPr>
          <w:ilvl w:val="0"/>
          <w:numId w:val="1"/>
        </w:numPr>
        <w:tabs>
          <w:tab w:val="left" w:pos="1273"/>
        </w:tabs>
        <w:spacing w:after="0" w:line="240" w:lineRule="auto"/>
        <w:ind w:left="260" w:right="20" w:firstLine="710"/>
        <w:rPr>
          <w:rFonts w:eastAsia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на поверхности земли, т.е. на поверхности покровов на границе с атмосферой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AA37658" w14:textId="77777777" w:rsidR="008F05D2" w:rsidRPr="00611CB9" w:rsidRDefault="008F05D2" w:rsidP="008F05D2">
      <w:pPr>
        <w:spacing w:after="0" w:line="240" w:lineRule="auto"/>
        <w:rPr>
          <w:rFonts w:eastAsia="Times New Roman"/>
          <w:sz w:val="24"/>
          <w:szCs w:val="24"/>
        </w:rPr>
      </w:pPr>
    </w:p>
    <w:p w14:paraId="1BFFECE8" w14:textId="77777777" w:rsidR="008F05D2" w:rsidRPr="00611CB9" w:rsidRDefault="008F05D2" w:rsidP="008F05D2">
      <w:pPr>
        <w:numPr>
          <w:ilvl w:val="0"/>
          <w:numId w:val="1"/>
        </w:numPr>
        <w:tabs>
          <w:tab w:val="left" w:pos="1273"/>
        </w:tabs>
        <w:spacing w:after="0" w:line="240" w:lineRule="auto"/>
        <w:ind w:left="260" w:firstLine="710"/>
        <w:rPr>
          <w:rFonts w:eastAsia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на поверхности почвы под снежным, растительным или водным покровами (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4303914" w14:textId="77777777" w:rsidR="008F05D2" w:rsidRPr="00611CB9" w:rsidRDefault="008F05D2" w:rsidP="008F05D2">
      <w:pPr>
        <w:spacing w:after="0" w:line="240" w:lineRule="auto"/>
        <w:rPr>
          <w:rFonts w:eastAsia="Times New Roman"/>
          <w:sz w:val="24"/>
          <w:szCs w:val="24"/>
        </w:rPr>
      </w:pPr>
    </w:p>
    <w:p w14:paraId="090A81F8" w14:textId="77777777" w:rsidR="008F05D2" w:rsidRPr="00611CB9" w:rsidRDefault="008F05D2" w:rsidP="008F05D2">
      <w:pPr>
        <w:numPr>
          <w:ilvl w:val="0"/>
          <w:numId w:val="1"/>
        </w:numPr>
        <w:tabs>
          <w:tab w:val="left" w:pos="1280"/>
        </w:tabs>
        <w:spacing w:after="0" w:line="240" w:lineRule="auto"/>
        <w:ind w:left="1280" w:hanging="310"/>
        <w:rPr>
          <w:rFonts w:eastAsia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на подошве слоя сезонного промерзания (оттаивания) пород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328C86E" w14:textId="77777777" w:rsidR="008F05D2" w:rsidRPr="00611CB9" w:rsidRDefault="008F05D2" w:rsidP="008F05D2">
      <w:pPr>
        <w:spacing w:after="0" w:line="240" w:lineRule="auto"/>
        <w:rPr>
          <w:rFonts w:eastAsia="Times New Roman"/>
          <w:sz w:val="24"/>
          <w:szCs w:val="24"/>
        </w:rPr>
      </w:pPr>
    </w:p>
    <w:p w14:paraId="7E9E0CC8" w14:textId="79199AAE" w:rsidR="008F05D2" w:rsidRPr="008F05D2" w:rsidRDefault="008F05D2" w:rsidP="008F05D2">
      <w:pPr>
        <w:numPr>
          <w:ilvl w:val="0"/>
          <w:numId w:val="1"/>
        </w:numPr>
        <w:tabs>
          <w:tab w:val="left" w:pos="1280"/>
        </w:tabs>
        <w:spacing w:after="0" w:line="240" w:lineRule="auto"/>
        <w:ind w:left="1280" w:hanging="310"/>
        <w:rPr>
          <w:rFonts w:eastAsia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на подошве слоя годовых колебаний температур (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ср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6EC8542" w14:textId="77777777" w:rsidR="008F05D2" w:rsidRDefault="008F05D2" w:rsidP="008F05D2">
      <w:pPr>
        <w:pStyle w:val="a3"/>
        <w:rPr>
          <w:rFonts w:eastAsia="Times New Roman"/>
          <w:sz w:val="24"/>
          <w:szCs w:val="24"/>
        </w:rPr>
      </w:pPr>
    </w:p>
    <w:p w14:paraId="66500569" w14:textId="5AC0EEF8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369C9090" w14:textId="2F62B071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7817A781" w14:textId="3E81F281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1A411568" w14:textId="4DDF08C1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005FA304" w14:textId="6FFD8E31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6D44E16A" w14:textId="0688923A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405E7225" w14:textId="024DBC54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7B3E8F8B" w14:textId="2A15CE12" w:rsidR="008F05D2" w:rsidRDefault="008F05D2" w:rsidP="008F05D2">
      <w:pPr>
        <w:tabs>
          <w:tab w:val="left" w:pos="1280"/>
        </w:tabs>
        <w:spacing w:after="0" w:line="240" w:lineRule="auto"/>
        <w:ind w:left="1280"/>
        <w:rPr>
          <w:rFonts w:eastAsia="Times New Roman"/>
          <w:sz w:val="24"/>
          <w:szCs w:val="24"/>
        </w:rPr>
      </w:pPr>
    </w:p>
    <w:p w14:paraId="105D595C" w14:textId="77777777" w:rsidR="008F05D2" w:rsidRPr="00611CB9" w:rsidRDefault="008F05D2" w:rsidP="008F05D2">
      <w:pPr>
        <w:spacing w:after="0"/>
        <w:rPr>
          <w:sz w:val="24"/>
          <w:szCs w:val="24"/>
        </w:rPr>
      </w:pPr>
      <w:r w:rsidRPr="00611CB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0" allowOverlap="1" wp14:anchorId="32E53C0F" wp14:editId="03629C7A">
            <wp:simplePos x="0" y="0"/>
            <wp:positionH relativeFrom="column">
              <wp:posOffset>1676401</wp:posOffset>
            </wp:positionH>
            <wp:positionV relativeFrom="paragraph">
              <wp:posOffset>76926</wp:posOffset>
            </wp:positionV>
            <wp:extent cx="2438400" cy="1914486"/>
            <wp:effectExtent l="0" t="0" r="0" b="0"/>
            <wp:wrapNone/>
            <wp:docPr id="27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846" cy="192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9C5E8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0B6A4AEC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07C8F9F5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4429E4A6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16359A6F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21725DE8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3B894EFE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1DA84B94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678DE5BA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12343C4D" w14:textId="193EA8A7" w:rsidR="008F05D2" w:rsidRPr="00611CB9" w:rsidRDefault="008F05D2" w:rsidP="008F05D2">
      <w:pPr>
        <w:spacing w:after="0"/>
        <w:ind w:left="260" w:firstLine="43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Рис. 4.3. Параметры температурного режима грунтов в слое годовых колебаний [</w:t>
      </w:r>
      <w:r w:rsidR="00CE2D6E"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Ершов Э</w:t>
      </w:r>
      <w:r w:rsidR="00CE2D6E" w:rsidRPr="00611C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D6E"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CE2D6E" w:rsidRPr="00611C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]: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  <w:vertAlign w:val="subscript"/>
        </w:rPr>
        <w:t>,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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ср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среднегодовые температуры: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воздуха,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на поверхности покровов,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поверхности почвы, на подошве слоя сезонного оттаивания грунтов мощностью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, на подошве слоя годовых колебаний температуры мощностью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max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– распределение минимальных и максимальных температур в слое годовых колебаний температуры</w:t>
      </w:r>
    </w:p>
    <w:p w14:paraId="78FA144F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2CEA1FB3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На каждом из этих уровней различны набор и относительная роль факторов природной среды в формировании температуры горных пород. Так, на поверхности земли доминирующую роль играет климат района, а на подошве слоя годовых колебаний температуры к влиянию климата добавляется существенное влияние геолого-гидрогеологических факторов.</w:t>
      </w:r>
    </w:p>
    <w:p w14:paraId="2CCED964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6024A598" w14:textId="2F251F49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Температурный режим земной поверхности на границе с атмосферой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определяется, в основном, климатическими факторами (составляющими радиационного баланса, температурным режимом и влажностью воздуха, облачностью, летними и зимними осадками) и характером поверхности (рельефом, крутизной и экспозицией склонов, значением альбедо, величиной проходящих через поверхность теплооборотов и т.п.). Его отличает наибольшая динамичность в естественной обстановке и при техногенных воздействиях. От температуры воздуха (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), измеряемой на метеостанциях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обычно на высоте 2 м, температура земной поверхности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 отличается на величину радиационной поправки (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R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), т.е.:</w:t>
      </w:r>
    </w:p>
    <w:p w14:paraId="78F1A6BC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6996776D" w14:textId="77777777" w:rsidR="008F05D2" w:rsidRPr="00611CB9" w:rsidRDefault="008F05D2" w:rsidP="008F05D2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R</w:t>
      </w:r>
      <w:proofErr w:type="spellEnd"/>
    </w:p>
    <w:p w14:paraId="4C7077A0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11AA059A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Температурный режим поверхности почвы под растительным, снежным и водным покровами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также существенно зависит от климатических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факторов и особенностей поверхности, указанных выше. Однако решающее значение здесь имеет теплоизоляционное влияние покровов, которое сокращает амплитуду температурных колебаний и смещает ось этих колебаний. В связи с большой изменчивостью климатических условий и характеристик покровов имеет место высокая динамичность среднегодовой температуры (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 и амплитуды годовых колебаний (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) температуры поверхности почвы как во времени, так и в пространстве. Расчет температурного режима на поверхности почвы обычно сводится к введению поправок к среднегодовой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lastRenderedPageBreak/>
        <w:t>температуре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 и амплитуде годовых колебаний температуры земной поверхности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 за счет влияния снега (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сн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сн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), растительности (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р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,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 и водного покрова (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вод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вод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42A59B91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664DF379" w14:textId="77777777" w:rsidR="008F05D2" w:rsidRPr="00611CB9" w:rsidRDefault="008F05D2" w:rsidP="008F05D2">
      <w:pPr>
        <w:spacing w:after="0"/>
        <w:ind w:right="-259"/>
        <w:jc w:val="center"/>
        <w:rPr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сн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+/-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р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вод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57825514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3E06BE3A" w14:textId="77777777" w:rsidR="008F05D2" w:rsidRPr="00611CB9" w:rsidRDefault="008F05D2" w:rsidP="008F05D2">
      <w:pPr>
        <w:spacing w:after="0"/>
        <w:ind w:right="-259"/>
        <w:jc w:val="center"/>
        <w:rPr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сн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р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вод</w:t>
      </w:r>
      <w:proofErr w:type="spellEnd"/>
    </w:p>
    <w:p w14:paraId="23BC885F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12C85B10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Температурный режим на подошве слоя сезонного промерзания (оттаивания) грунтов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отличается от такового на его поверхности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вследствие тепломассопереноса в этом слое при инфильтрации атмосферных осадков и циркуляции грунтовых или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надмерзлотных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вод, а также температурной сдвижки, возникающей при знакопеременных периодических изменениях температуры грунта и разности его теплофизических характеристик в талом и мерзлом состояниях.</w:t>
      </w:r>
    </w:p>
    <w:p w14:paraId="2B5A3148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51A4F649" w14:textId="59860006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под влиянием комплекса географических и геологических факторов, среди которых основными являются литологические особенности и влажность горных пород. С учетом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влияния инфильтрации летних осадков (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) и температурной сдвижки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Symbol" w:eastAsia="Symbol" w:hAnsi="Symbol" w:cs="Symbol"/>
          <w:sz w:val="24"/>
          <w:szCs w:val="24"/>
          <w:vertAlign w:val="subscript"/>
        </w:rPr>
        <w:t>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) среднегодовая температура пород на глубине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может быть представлена как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+/-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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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892A02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691D603F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Изменчивость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во времени и в пространстве достаточно высокая, но все же меньше, чем изменчивость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0242B4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1CC5C9DC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Температурный режим грунтов на подошве слоя годовых колебаний температуры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характеризуется только одним параметром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значением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температуры (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ср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), т.к. амплитуда колебаний температуры на глубине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определению не превышает 0,1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. Отличие </w:t>
      </w: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ср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обусловлено геотермическим градиентом (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) в слое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, связь между ними выражается:</w:t>
      </w:r>
    </w:p>
    <w:p w14:paraId="6ADDC7EC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594BA21E" w14:textId="77777777" w:rsidR="008F05D2" w:rsidRPr="00611CB9" w:rsidRDefault="008F05D2" w:rsidP="008F05D2">
      <w:pPr>
        <w:spacing w:after="0"/>
        <w:ind w:right="-259"/>
        <w:jc w:val="center"/>
        <w:rPr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ср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=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</w:t>
      </w:r>
      <w:r w:rsidRPr="00611CB9">
        <w:rPr>
          <w:rFonts w:ascii="Symbol" w:eastAsia="Symbol" w:hAnsi="Symbol" w:cs="Symbol"/>
          <w:i/>
          <w:iCs/>
          <w:sz w:val="24"/>
          <w:szCs w:val="24"/>
          <w:vertAlign w:val="subscript"/>
        </w:rPr>
        <w:t>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g (Н - </w:t>
      </w:r>
      <w:r w:rsidRPr="00611CB9">
        <w:rPr>
          <w:rFonts w:ascii="Symbol" w:eastAsia="Symbol" w:hAnsi="Symbol" w:cs="Symbol"/>
          <w:i/>
          <w:iCs/>
          <w:sz w:val="24"/>
          <w:szCs w:val="24"/>
        </w:rPr>
        <w:t>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45973CA1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55FDBD43" w14:textId="77777777" w:rsidR="008F05D2" w:rsidRPr="00611CB9" w:rsidRDefault="008F05D2" w:rsidP="008F05D2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Температурный режим грунтов на подошве слоя годовых колебаний является наиболее устойчивым. После изменения условий теплообмена на поверхности вследствие естественных изменений природных факторов или в результате техногенного воздействия соответствующий температурный режим на глубине </w:t>
      </w:r>
      <w:r w:rsidRPr="00611CB9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обычно устанавливается только через 10-15 лет.</w:t>
      </w:r>
    </w:p>
    <w:p w14:paraId="025285D7" w14:textId="77777777" w:rsidR="008F05D2" w:rsidRPr="00611CB9" w:rsidRDefault="008F05D2" w:rsidP="008F05D2">
      <w:pPr>
        <w:spacing w:after="0"/>
        <w:rPr>
          <w:sz w:val="24"/>
          <w:szCs w:val="24"/>
        </w:rPr>
      </w:pPr>
    </w:p>
    <w:p w14:paraId="4AEB154F" w14:textId="77777777" w:rsidR="00F55FAD" w:rsidRDefault="00F55FAD"/>
    <w:sectPr w:rsidR="00F5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BFC"/>
    <w:multiLevelType w:val="hybridMultilevel"/>
    <w:tmpl w:val="6756B560"/>
    <w:lvl w:ilvl="0" w:tplc="C1046ED6">
      <w:start w:val="1"/>
      <w:numFmt w:val="decimal"/>
      <w:lvlText w:val="%1)"/>
      <w:lvlJc w:val="left"/>
    </w:lvl>
    <w:lvl w:ilvl="1" w:tplc="8342F28A">
      <w:numFmt w:val="decimal"/>
      <w:lvlText w:val=""/>
      <w:lvlJc w:val="left"/>
    </w:lvl>
    <w:lvl w:ilvl="2" w:tplc="58145F04">
      <w:numFmt w:val="decimal"/>
      <w:lvlText w:val=""/>
      <w:lvlJc w:val="left"/>
    </w:lvl>
    <w:lvl w:ilvl="3" w:tplc="98546BA4">
      <w:numFmt w:val="decimal"/>
      <w:lvlText w:val=""/>
      <w:lvlJc w:val="left"/>
    </w:lvl>
    <w:lvl w:ilvl="4" w:tplc="F9B09836">
      <w:numFmt w:val="decimal"/>
      <w:lvlText w:val=""/>
      <w:lvlJc w:val="left"/>
    </w:lvl>
    <w:lvl w:ilvl="5" w:tplc="CFDE30EA">
      <w:numFmt w:val="decimal"/>
      <w:lvlText w:val=""/>
      <w:lvlJc w:val="left"/>
    </w:lvl>
    <w:lvl w:ilvl="6" w:tplc="C9926F8A">
      <w:numFmt w:val="decimal"/>
      <w:lvlText w:val=""/>
      <w:lvlJc w:val="left"/>
    </w:lvl>
    <w:lvl w:ilvl="7" w:tplc="80DC142C">
      <w:numFmt w:val="decimal"/>
      <w:lvlText w:val=""/>
      <w:lvlJc w:val="left"/>
    </w:lvl>
    <w:lvl w:ilvl="8" w:tplc="617E800C">
      <w:numFmt w:val="decimal"/>
      <w:lvlText w:val=""/>
      <w:lvlJc w:val="left"/>
    </w:lvl>
  </w:abstractNum>
  <w:abstractNum w:abstractNumId="1" w15:restartNumberingAfterBreak="0">
    <w:nsid w:val="12531B94"/>
    <w:multiLevelType w:val="hybridMultilevel"/>
    <w:tmpl w:val="E9A05B8A"/>
    <w:lvl w:ilvl="0" w:tplc="20D4E064">
      <w:start w:val="18"/>
      <w:numFmt w:val="decimal"/>
      <w:lvlText w:val="%1."/>
      <w:lvlJc w:val="left"/>
      <w:pPr>
        <w:ind w:left="13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D2"/>
    <w:rsid w:val="008F05D2"/>
    <w:rsid w:val="00CE2D6E"/>
    <w:rsid w:val="00F00340"/>
    <w:rsid w:val="00F5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0391"/>
  <w15:chartTrackingRefBased/>
  <w15:docId w15:val="{81CA0F65-F6A9-4A3B-A1CF-BF478D30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Емельянович</dc:creator>
  <cp:keywords/>
  <dc:description/>
  <cp:lastModifiedBy>Мария Емельянович</cp:lastModifiedBy>
  <cp:revision>2</cp:revision>
  <dcterms:created xsi:type="dcterms:W3CDTF">2020-11-12T04:42:00Z</dcterms:created>
  <dcterms:modified xsi:type="dcterms:W3CDTF">2020-11-12T05:14:00Z</dcterms:modified>
</cp:coreProperties>
</file>