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F64EF63" w14:textId="77777777" w:rsidR="00FD0490" w:rsidRPr="00FD0490" w:rsidRDefault="00FD0490" w:rsidP="00FD0490">
      <w:pPr>
        <w:rPr>
          <w:b/>
          <w:bCs/>
          <w:sz w:val="28"/>
          <w:szCs w:val="28"/>
        </w:rPr>
      </w:pPr>
      <w:bookmarkStart w:id="0" w:name="_Toc288309387"/>
      <w:r w:rsidRPr="00FD0490">
        <w:rPr>
          <w:b/>
          <w:bCs/>
          <w:sz w:val="28"/>
          <w:szCs w:val="28"/>
          <w:highlight w:val="green"/>
        </w:rPr>
        <w:t>ПРАВОВЫЕ ОСНОВЫ НЕДРОПОЛЬЗОВАНИЯ</w:t>
      </w:r>
    </w:p>
    <w:p w14:paraId="1E406FA0" w14:textId="77777777" w:rsidR="00FD0490" w:rsidRDefault="00FD0490" w:rsidP="00FD0490"/>
    <w:p w14:paraId="29070B9E" w14:textId="77777777" w:rsidR="00FD0490" w:rsidRDefault="00FD0490" w:rsidP="00FD0490">
      <w:pPr>
        <w:jc w:val="both"/>
        <w:rPr>
          <w:highlight w:val="cyan"/>
        </w:rPr>
      </w:pPr>
      <w:bookmarkStart w:id="1" w:name="_Hlk53402552"/>
      <w:r>
        <w:rPr>
          <w:highlight w:val="cyan"/>
        </w:rPr>
        <w:t>Общие сведения учебной работы по дисциплине в удаленном режиме.</w:t>
      </w:r>
    </w:p>
    <w:p w14:paraId="0E55729C" w14:textId="77777777" w:rsidR="00FD0490" w:rsidRDefault="00FD0490" w:rsidP="00FD0490">
      <w:pPr>
        <w:jc w:val="both"/>
        <w:rPr>
          <w:highlight w:val="cyan"/>
        </w:rPr>
      </w:pPr>
      <w:r>
        <w:rPr>
          <w:highlight w:val="cyan"/>
        </w:rPr>
        <w:t>1. По лекции в тетраде составляется краткий конспект. Выставлять его для проверки в сеть не следует. Конспект будет просматриваться преподавателем на этапе семестровой аттестации.</w:t>
      </w:r>
    </w:p>
    <w:p w14:paraId="7F1A85B6" w14:textId="77777777" w:rsidR="00FD0490" w:rsidRDefault="00FD0490" w:rsidP="00FD0490">
      <w:pPr>
        <w:jc w:val="both"/>
        <w:rPr>
          <w:highlight w:val="cyan"/>
        </w:rPr>
      </w:pPr>
      <w:r>
        <w:rPr>
          <w:highlight w:val="cyan"/>
        </w:rPr>
        <w:t>2. На контрольные вопросы следует дать лаконичные ответы. Их следует выставить в сеть для контроля и оценки.</w:t>
      </w:r>
    </w:p>
    <w:p w14:paraId="37889C6A" w14:textId="77777777" w:rsidR="00FD0490" w:rsidRDefault="00FD0490" w:rsidP="00FD0490">
      <w:pPr>
        <w:jc w:val="both"/>
        <w:rPr>
          <w:highlight w:val="cyan"/>
        </w:rPr>
      </w:pPr>
      <w:r>
        <w:rPr>
          <w:highlight w:val="cyan"/>
        </w:rPr>
        <w:t xml:space="preserve">3. Для практических занятий предусмотрены несколько заданий, которые следует выставить в сеть для контроля и оценки. </w:t>
      </w:r>
    </w:p>
    <w:p w14:paraId="0EE56DBF" w14:textId="77777777" w:rsidR="00FD0490" w:rsidRDefault="00FD0490" w:rsidP="00FD0490">
      <w:pPr>
        <w:rPr>
          <w:highlight w:val="cyan"/>
        </w:rPr>
      </w:pPr>
    </w:p>
    <w:p w14:paraId="12AFE6B2" w14:textId="77777777" w:rsidR="00FD0490" w:rsidRDefault="00FD0490" w:rsidP="00FD0490">
      <w:pPr>
        <w:spacing w:line="240" w:lineRule="auto"/>
        <w:rPr>
          <w:rFonts w:ascii="Times New Roman" w:hAnsi="Times New Roman" w:cs="Times New Roman"/>
          <w:color w:val="C00000"/>
          <w:sz w:val="24"/>
          <w:szCs w:val="24"/>
        </w:rPr>
      </w:pPr>
      <w:r>
        <w:rPr>
          <w:rFonts w:ascii="Times New Roman" w:hAnsi="Times New Roman" w:cs="Times New Roman"/>
          <w:color w:val="C00000"/>
          <w:sz w:val="24"/>
          <w:szCs w:val="24"/>
        </w:rPr>
        <w:t xml:space="preserve">НЕ ДОПУСКАЕТСЯ КОПИРОВАНИЕ ОТВЕТОВ НА ЗАДАНИЯ ДРУГ У ДРУГА. ИДЕНТИЧНЫЕ ОТВЕТЫ БУДУТ НЕ ЗАЧТЕНЫ ВСЕМ, У КОГО ОНИ БУДУТ ВЫЯВЛЕНЫ. </w:t>
      </w:r>
    </w:p>
    <w:bookmarkEnd w:id="1"/>
    <w:p w14:paraId="0131F7E2" w14:textId="77777777" w:rsidR="00FD0490" w:rsidRDefault="00FD0490" w:rsidP="00FD0490">
      <w:pPr>
        <w:rPr>
          <w:rFonts w:ascii="Times New Roman" w:hAnsi="Times New Roman" w:cs="Times New Roman"/>
          <w:sz w:val="24"/>
          <w:szCs w:val="24"/>
        </w:rPr>
      </w:pPr>
    </w:p>
    <w:p w14:paraId="74FF5BEF" w14:textId="28EF4D87" w:rsidR="00FD0490" w:rsidRDefault="00FD0490" w:rsidP="00FD049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highlight w:val="green"/>
        </w:rPr>
        <w:t xml:space="preserve">ЛЕКЦИЯ ДЛЯ ГД-18 (весь поток) на </w:t>
      </w:r>
      <w:r>
        <w:rPr>
          <w:rFonts w:ascii="Times New Roman" w:hAnsi="Times New Roman" w:cs="Times New Roman"/>
          <w:sz w:val="24"/>
          <w:szCs w:val="24"/>
          <w:highlight w:val="green"/>
        </w:rPr>
        <w:t>26</w:t>
      </w:r>
      <w:r>
        <w:rPr>
          <w:rFonts w:ascii="Times New Roman" w:hAnsi="Times New Roman" w:cs="Times New Roman"/>
          <w:sz w:val="24"/>
          <w:szCs w:val="24"/>
          <w:highlight w:val="green"/>
        </w:rPr>
        <w:t>.11.2020.</w:t>
      </w:r>
    </w:p>
    <w:p w14:paraId="0376E0EE" w14:textId="77777777" w:rsidR="00FD0490" w:rsidRDefault="00FD0490" w:rsidP="00FD0490">
      <w:pPr>
        <w:rPr>
          <w:rFonts w:ascii="Times New Roman" w:hAnsi="Times New Roman" w:cs="Times New Roman"/>
          <w:sz w:val="24"/>
          <w:szCs w:val="24"/>
        </w:rPr>
      </w:pPr>
    </w:p>
    <w:p w14:paraId="462CA54E" w14:textId="77777777" w:rsidR="00FD0490" w:rsidRPr="00FD0490" w:rsidRDefault="00FD0490" w:rsidP="00FD0490">
      <w:pPr>
        <w:pStyle w:val="1"/>
        <w:spacing w:before="0" w:line="257" w:lineRule="auto"/>
        <w:jc w:val="center"/>
        <w:rPr>
          <w:rStyle w:val="a8"/>
          <w:rFonts w:ascii="Times New Roman" w:hAnsi="Times New Roman" w:cs="Times New Roman"/>
          <w:b/>
          <w:color w:val="auto"/>
          <w:sz w:val="24"/>
          <w:szCs w:val="24"/>
        </w:rPr>
      </w:pPr>
      <w:r>
        <w:rPr>
          <w:rStyle w:val="a8"/>
          <w:rFonts w:ascii="Times New Roman" w:hAnsi="Times New Roman" w:cs="Times New Roman"/>
          <w:b/>
          <w:color w:val="auto"/>
          <w:sz w:val="24"/>
          <w:szCs w:val="24"/>
        </w:rPr>
        <w:t>Тема: «</w:t>
      </w:r>
      <w:r w:rsidRPr="00FD0490">
        <w:rPr>
          <w:rStyle w:val="a8"/>
          <w:rFonts w:ascii="Times New Roman" w:hAnsi="Times New Roman" w:cs="Times New Roman"/>
          <w:b/>
          <w:color w:val="auto"/>
          <w:sz w:val="24"/>
          <w:szCs w:val="24"/>
        </w:rPr>
        <w:t>ГОРНО-ЭКОЛОГИЧЕСКИЙ МОНИТОРИНГ ДЕЯТЕЛЬНОСТИ</w:t>
      </w:r>
    </w:p>
    <w:p w14:paraId="029FC848" w14:textId="70F1AD1A" w:rsidR="00FD0490" w:rsidRDefault="00FD0490" w:rsidP="00FD0490">
      <w:pPr>
        <w:pStyle w:val="1"/>
        <w:spacing w:before="0" w:line="257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FD0490">
        <w:rPr>
          <w:rStyle w:val="a8"/>
          <w:rFonts w:ascii="Times New Roman" w:hAnsi="Times New Roman" w:cs="Times New Roman"/>
          <w:b/>
          <w:color w:val="auto"/>
          <w:sz w:val="24"/>
          <w:szCs w:val="24"/>
        </w:rPr>
        <w:t>ГОРНОГО ПРЕДПРИЯТИЯ</w:t>
      </w:r>
      <w:bookmarkEnd w:id="0"/>
      <w:r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14:paraId="46D32003" w14:textId="77777777" w:rsidR="00FD0490" w:rsidRDefault="00FD0490" w:rsidP="00FD0490">
      <w:pPr>
        <w:spacing w:after="0" w:line="240" w:lineRule="auto"/>
        <w:ind w:left="709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ВОПРОСЫ</w:t>
      </w:r>
    </w:p>
    <w:p w14:paraId="73B9346E" w14:textId="231D4B7C" w:rsidR="00FD0490" w:rsidRDefault="00FD0490" w:rsidP="00FD0490">
      <w:pPr>
        <w:spacing w:after="0" w:line="240" w:lineRule="auto"/>
        <w:ind w:left="709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  <w:r w:rsidRPr="006A237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Pr="006A237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Основные понятия и определения горно-эко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лог</w:t>
      </w:r>
      <w:r w:rsidRPr="006A237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ического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A237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мониторинга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14:paraId="35E5A0B3" w14:textId="07110E65" w:rsidR="00FD0490" w:rsidRDefault="00FD0490" w:rsidP="00FD0490">
      <w:pPr>
        <w:spacing w:after="0" w:line="240" w:lineRule="auto"/>
        <w:ind w:left="709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FD0490">
        <w:rPr>
          <w:rFonts w:ascii="Times New Roman" w:hAnsi="Times New Roman" w:cs="Times New Roman"/>
          <w:b/>
          <w:bCs/>
          <w:color w:val="000000"/>
          <w:sz w:val="24"/>
          <w:szCs w:val="24"/>
        </w:rPr>
        <w:t>2. Воздействие горного предприятия на окружающую среду</w:t>
      </w:r>
    </w:p>
    <w:p w14:paraId="137EDE5A" w14:textId="58C993F1" w:rsidR="00FD0490" w:rsidRDefault="00FD0490" w:rsidP="00FD0490">
      <w:pPr>
        <w:spacing w:after="0" w:line="240" w:lineRule="auto"/>
        <w:ind w:left="709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A237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Pr="006A237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Организация горно-экологического мониторинга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A237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 горном предприятии</w:t>
      </w:r>
    </w:p>
    <w:p w14:paraId="71198913" w14:textId="77777777" w:rsidR="00FD0490" w:rsidRDefault="00FD0490" w:rsidP="00FD0490">
      <w:pPr>
        <w:spacing w:after="0" w:line="240" w:lineRule="auto"/>
        <w:ind w:left="709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480B189C" w14:textId="483D741E" w:rsidR="006A2375" w:rsidRDefault="006A2375" w:rsidP="006A23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A237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D0490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eastAsia="ru-RU"/>
        </w:rPr>
        <w:t>1</w:t>
      </w:r>
      <w:r w:rsidRPr="00FD0490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eastAsia="ru-RU"/>
        </w:rPr>
        <w:t>.</w:t>
      </w:r>
      <w:r w:rsidRPr="00FD0490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eastAsia="ru-RU"/>
        </w:rPr>
        <w:t xml:space="preserve"> Основные понятия и определения горно-эко</w:t>
      </w:r>
      <w:r w:rsidRPr="00FD0490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eastAsia="ru-RU"/>
        </w:rPr>
        <w:t>лог</w:t>
      </w:r>
      <w:r w:rsidRPr="00FD0490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eastAsia="ru-RU"/>
        </w:rPr>
        <w:t>ического</w:t>
      </w:r>
      <w:r w:rsidRPr="00FD0490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 xml:space="preserve"> </w:t>
      </w:r>
      <w:r w:rsidRPr="00FD0490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eastAsia="ru-RU"/>
        </w:rPr>
        <w:t>мониторинга</w:t>
      </w:r>
    </w:p>
    <w:p w14:paraId="789C8E7E" w14:textId="77777777" w:rsidR="00FD0490" w:rsidRDefault="00FD0490" w:rsidP="006A23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5C7B2F31" w14:textId="1AB510A6" w:rsidR="006A2375" w:rsidRDefault="006A2375" w:rsidP="006A23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6A237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Для всех способов разработки месторождений полезных ископаемых характерно существенное негативное воздействие горного производства на биосферу, затрагивающее, по существу, все ее элементы: водный и воздушный бассейны, землю, недра, растительный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– </w:t>
      </w:r>
      <w:r w:rsidRPr="006A237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и животный мир. Это воздействие проявляется в двух основных формах:</w:t>
      </w:r>
    </w:p>
    <w:p w14:paraId="1370AA9F" w14:textId="20A2C84C" w:rsidR="006A2375" w:rsidRDefault="006A2375" w:rsidP="006A23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–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Pr="006A237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выделение в атмосферу веществ и энергии;</w:t>
      </w:r>
    </w:p>
    <w:p w14:paraId="2D30DA3E" w14:textId="4900B72B" w:rsidR="006A2375" w:rsidRDefault="006A2375" w:rsidP="006A23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–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Pr="006A237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потребление ресурсов биосферы.</w:t>
      </w:r>
    </w:p>
    <w:p w14:paraId="5272860D" w14:textId="77777777" w:rsidR="006A2375" w:rsidRDefault="006A2375" w:rsidP="006A23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237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Для первой формы характерны выделения твердых веществ различного фракционного состава, жидкой фазы, газов и различных видов энергии (тепловой, механической и др.).</w:t>
      </w:r>
    </w:p>
    <w:p w14:paraId="7DEA91CF" w14:textId="77777777" w:rsidR="006A2375" w:rsidRDefault="006A2375" w:rsidP="006A23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237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Вторая форма включает отчуждение земельных ресурсов, потребление полезных ископаемых, водных и растительных ресурсов.</w:t>
      </w:r>
    </w:p>
    <w:p w14:paraId="5E3B72A5" w14:textId="77777777" w:rsidR="006A2375" w:rsidRDefault="006A2375" w:rsidP="006A23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237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Различают непосредственное (прямое) воздействие горного производства на биосферу и косвенное, являющееся следствием первого. Размеры зоны косвенного воздействия значительно превышают размеры зоны прямого воздействия и, как правило, в эту зону попадает не только элемент биосферы, подвергающийся непосредственному воздействию, но и другие элементы.</w:t>
      </w:r>
    </w:p>
    <w:p w14:paraId="37411BA0" w14:textId="77777777" w:rsidR="006A2375" w:rsidRDefault="006A2375" w:rsidP="006A23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237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lastRenderedPageBreak/>
        <w:t>Анализ состояния биосферы в зоне расположения предприятий горнодобывающей промышленности показывает, что проведение эффективных мероприятий по минимизации воздействия горного производства на окружающую среду не представляется возможным без разработки и промышленной реализации горно-экологического мониторинга. Понятие «горно-экологический мониторинг» было впервые предложено в 1994 г. М.Е. Певзнером, который определил горно-экологический мониторинг как специальную информационно-аналитическую систему контроля и оценки состояния окружающей среды в зоне деятельности предприятий горнодобывающей промышленности.</w:t>
      </w:r>
    </w:p>
    <w:p w14:paraId="51C0BADF" w14:textId="77777777" w:rsidR="006A2375" w:rsidRDefault="006A2375" w:rsidP="006A23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237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Система горно-экологического мониторинга основывается на ряде базовых положений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.</w:t>
      </w:r>
    </w:p>
    <w:p w14:paraId="1A907F77" w14:textId="77777777" w:rsidR="006A2375" w:rsidRDefault="006A2375" w:rsidP="006A23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237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1. Система должна быть открытой для использования ее в качестве элемента системы более высокого уровня, т.е. Единой государственной системы экологического мониторинга, которая создается в нашей стране в соответствии с Постановлением Правительства Российской Федерации «О создании Единой государственной системы экологического мониторинга России» от 24 ноября 1993 г. № 1229. В то же время система горно-экологического мониторинга должна допускать использование в своем составе подсистем более низкого уровня, в том числе достаточно автономных.</w:t>
      </w:r>
    </w:p>
    <w:p w14:paraId="54EC74A9" w14:textId="592FD1CD" w:rsidR="006A2375" w:rsidRPr="006A2375" w:rsidRDefault="006A2375" w:rsidP="006A23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6A237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2. Система должна охватывать все горные предприятия, находящиеся в пределах административно-территориальной единицы, — района. Это дает ряд преимуществ как в организации сбора необходимой информации о суммарном воздействии этих предприятий на окружающую среду, так и в эффективности реализуемых природоохранных мероприятий.</w:t>
      </w:r>
    </w:p>
    <w:p w14:paraId="0E44622C" w14:textId="77777777" w:rsidR="006A2375" w:rsidRPr="006A2375" w:rsidRDefault="006A2375" w:rsidP="006A23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</w:p>
    <w:p w14:paraId="7076DF3D" w14:textId="48784B58" w:rsidR="006A2375" w:rsidRDefault="006A2375" w:rsidP="006A2375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D0490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eastAsia="ru-RU"/>
        </w:rPr>
        <w:t>2</w:t>
      </w:r>
      <w:r w:rsidRPr="00FD0490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eastAsia="ru-RU"/>
        </w:rPr>
        <w:t>.</w:t>
      </w:r>
      <w:r w:rsidRPr="00FD0490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eastAsia="ru-RU"/>
        </w:rPr>
        <w:t xml:space="preserve"> Воздействие горного предприятия на окружающую среду</w:t>
      </w:r>
    </w:p>
    <w:p w14:paraId="49EF5CE3" w14:textId="77777777" w:rsidR="00AA16F4" w:rsidRPr="006A2375" w:rsidRDefault="00AA16F4" w:rsidP="006A2375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1B7A12B5" w14:textId="77777777" w:rsidR="006A2375" w:rsidRDefault="006A2375" w:rsidP="006A23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237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При организации системы горно-экологического мониторинга необходимо учитывать, что цеха и производства, входящие в состав горного предприятия, оказывают различные виды воздействия на окружающую среду, а каждый элемент биосферы подвергается суммарному воздействию различных источников.</w:t>
      </w:r>
    </w:p>
    <w:p w14:paraId="224B0CB4" w14:textId="77777777" w:rsidR="006A2375" w:rsidRDefault="006A2375" w:rsidP="006A23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237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Наблюдательные сети создаются на каждом объекте (цехе) горного производства в соответствии с присущими ему видами воздействия на окружающую среду.</w:t>
      </w:r>
    </w:p>
    <w:p w14:paraId="6D711667" w14:textId="77777777" w:rsidR="006A2375" w:rsidRDefault="006A2375" w:rsidP="006A23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237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По условиям производства на каждом объекте следует различать два типа воздействий.</w:t>
      </w:r>
    </w:p>
    <w:p w14:paraId="77E745B0" w14:textId="77777777" w:rsidR="006A2375" w:rsidRDefault="006A2375" w:rsidP="006A23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237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1. Воздействия в условиях соблюдения технологических режимов.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A237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Такие воздействия предусматриваются проектом, в котором регламентируются количественные показатели (размеры) каждого вида воздействия.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A237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В этом случае производится предусмотренный проектом выборочный контроль (измерение) соблюдения проектных показателей на основе заложенной в проекте сети наблюдательных станций (пунктов) и согласованных экологической экспертизой проекта методик.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A237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Величина допустимых показателей экологического воздействия также согласуется экологической экспертизой.</w:t>
      </w:r>
    </w:p>
    <w:p w14:paraId="05C13591" w14:textId="77777777" w:rsidR="006A2375" w:rsidRDefault="006A2375" w:rsidP="006A23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237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2. Воздействия в условиях нарушения проектных технологических режимов.</w:t>
      </w:r>
    </w:p>
    <w:p w14:paraId="25B0D133" w14:textId="77777777" w:rsidR="006A2375" w:rsidRDefault="006A2375" w:rsidP="006A23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237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2.1. Запланированные нарушения. Эти нарушения связаны с проведением плановых ремонтов, с совершенствованием ранее спроектированной технологии или другими прогнозируемыми изменениями. Например, ухудшение качества руды может потребовать увеличения тонкости помола, что при установленном обезвоживающем оборудовании приведет к периодическим залповым выбросам твердых частиц в сливах, а в промежутках между выбросами в сливах значительно повысятся </w:t>
      </w:r>
      <w:proofErr w:type="spellStart"/>
      <w:r w:rsidRPr="006A237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пылевыбросы</w:t>
      </w:r>
      <w:proofErr w:type="spellEnd"/>
      <w:r w:rsidRPr="006A237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в топочных газах сушильных печей. В этом случае потребуется существенно увеличить частоту замеров твердой взвеси и проводить их вплоть до принятия соответствующих технологических мер по локализации выбросов. Поэтому система мониторинга должна включать не только сбор и обработку информации по результатам традиционных для данной устоявшейся технологии замеров экологического воздействия, но и получение своевременной информации об изменениях </w:t>
      </w:r>
      <w:r w:rsidRPr="006A237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lastRenderedPageBreak/>
        <w:t>технологических режимов на всех переделах (или технологических узлах) всей технологической цепи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14:paraId="2255994A" w14:textId="48E6765C" w:rsidR="008145A3" w:rsidRDefault="006A2375" w:rsidP="008145A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237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2.2. Незапланированные нарушения технологии (аварийные ситуации). Подавляющее большинство таких ситуаций (по их виду и месту свершения) потенциально поддается прогнозу, трудно прогнозируется, как правило, лишь точный момент наступления события. Поэтому система мониторинга должна предусматривать установку в потенциально опасных местах специальных пунктов получения информации, позволяющей по возможности прогнозировать возникновение аварийной ситуации и оценивать размеры экологического воздействия в момент и после возникновения аварийной ситуации. Например, организация на поверхности шахтного поля (в его границах) пунктов регулярного наблюдения за динамикой выделения радона позволит за 3-5 суток прогнозировать катастрофические провалы поверхности, а организация по периметру основания хвостохранилищ сети скважин для гидрохимических наблюдений позволяет предотвратить возможность аварийного дренажа жидкой фазы в какой-либо зоне ложа (днища) хвостохранилища и оценить последствия этой аварии.</w:t>
      </w:r>
    </w:p>
    <w:p w14:paraId="756CB711" w14:textId="15F81E9F" w:rsidR="009E68BE" w:rsidRDefault="006A2375" w:rsidP="008145A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6A237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При организации системы мониторинга на объектах горного производства необходимо учитывать специфику каждого объекта.</w:t>
      </w:r>
    </w:p>
    <w:p w14:paraId="5A9D6519" w14:textId="77777777" w:rsidR="00AA16F4" w:rsidRDefault="00AA16F4" w:rsidP="00AA16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4EC8D23" w14:textId="7ECB5C35" w:rsidR="009E68BE" w:rsidRDefault="006A2375" w:rsidP="00AA16F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D0490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eastAsia="ru-RU"/>
        </w:rPr>
        <w:t>3</w:t>
      </w:r>
      <w:r w:rsidRPr="00FD0490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eastAsia="ru-RU"/>
        </w:rPr>
        <w:t>.</w:t>
      </w:r>
      <w:r w:rsidRPr="00FD0490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eastAsia="ru-RU"/>
        </w:rPr>
        <w:t xml:space="preserve"> Организация горно-экологического мониторинга</w:t>
      </w:r>
      <w:r w:rsidR="009E68BE" w:rsidRPr="00FD0490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 xml:space="preserve"> </w:t>
      </w:r>
      <w:r w:rsidRPr="00FD0490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eastAsia="ru-RU"/>
        </w:rPr>
        <w:t>на горном предприятии</w:t>
      </w:r>
    </w:p>
    <w:p w14:paraId="567511B6" w14:textId="77777777" w:rsidR="009E68BE" w:rsidRDefault="009E68BE" w:rsidP="009E68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C41B872" w14:textId="77777777" w:rsidR="009E68BE" w:rsidRDefault="006A2375" w:rsidP="009E68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237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Система горно-экологического мониторинга должна включать, как минимум, четыре подсистемы наблюдений:</w:t>
      </w:r>
    </w:p>
    <w:p w14:paraId="357BD8B7" w14:textId="6B35C330" w:rsidR="009E68BE" w:rsidRDefault="006A2375" w:rsidP="009E68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237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1-я подсистема,</w:t>
      </w:r>
      <w:r w:rsidRPr="006A237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 предусматривающая организацию (построение) сети стационарных постов наблюдений, укомплектованных приборами для метео- и гидрологических измерений: температуры, давления, влажности атмосферного воздуха, скорости и направления ветра, колебаний уровня грунтовых вод, скорости и направления грунтовых потоков, изменения дебита подземных и наземных коллекторов, температуры воды и поверхности грунта и др.</w:t>
      </w:r>
      <w:r w:rsidR="009E68B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;</w:t>
      </w:r>
    </w:p>
    <w:p w14:paraId="0724C686" w14:textId="77777777" w:rsidR="009E68BE" w:rsidRDefault="006A2375" w:rsidP="009E68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237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2-я подсистема </w:t>
      </w:r>
      <w:r w:rsidRPr="006A237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— сеть стационарных постов наблюдений, укомплектованных приборами для измерения характеристик окружающей природной среды еще не подвергшейся техногенному воздействию, с целью оценки ее исходного состояния, на фоне которого осуществляется техногенное воздействие горного производства. Система включает приборы для измерения газового состава и запыленности атмосферного воздуха, химического состава почв и элементов водного бассейна (грунтовых вод, наземных водоемов, донных отложений), приборы для измерения содержания твердых взвесей в водной среде и содержания влаги в почвах, радиометрические приборы (для оценки радиационного фона), приборы для измерения напряженно-деформированного состояния массива горных пород.</w:t>
      </w:r>
    </w:p>
    <w:p w14:paraId="2CA75CE2" w14:textId="77777777" w:rsidR="009E68BE" w:rsidRDefault="006A2375" w:rsidP="009E68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6A237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Приборы 1 и 2-й подсистем должны работать в автоматическом режиме, частота выдачи показаний прибора (периодичность замеров) устанавливается для каждого показателя методикой измерений, учитывающей свойства наблюдаемого объекта и конкретные местные условия (определяющие естественную возможную частоту измерения данного показателя). Диапазон измерения применяемых приборов должен периодически перекрывать пределы возможного изменения величин каждого показателя, а в случае отсутствия такого прибора наблюдательный пост должен быть оснащен двумя (или более) приборами с разными диапазонами измерений</w:t>
      </w:r>
      <w:r w:rsidR="009E68B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;</w:t>
      </w:r>
    </w:p>
    <w:p w14:paraId="01024EC7" w14:textId="77777777" w:rsidR="009E68BE" w:rsidRDefault="006A2375" w:rsidP="009E68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237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3-я подсистема</w:t>
      </w:r>
      <w:r w:rsidRPr="006A237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 включает две сети постов наблюдений.</w:t>
      </w:r>
    </w:p>
    <w:p w14:paraId="39A8815E" w14:textId="77777777" w:rsidR="009E68BE" w:rsidRDefault="006A2375" w:rsidP="009E68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237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Первая </w:t>
      </w:r>
      <w:r w:rsidR="009E68B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– </w:t>
      </w:r>
      <w:r w:rsidRPr="006A237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сеть стационарных постов, оснащенных приборами для оценки выбросов непосредственно на источниках. Сюда входят приборы для измерения концентрации вредных веществ и приборы (типа расходомеров) для измерения потока выброса (объемов выброса в единицу времени), поскольку количество попадающих в окружающую среду вредных веществ и их накопление в осадках (или во взвешенном состоянии в локальных точках </w:t>
      </w:r>
      <w:r w:rsidRPr="006A237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lastRenderedPageBreak/>
        <w:t>пространства) определяется не только их концентрацией, но и величиной выбросного потока (мощностью выброса).</w:t>
      </w:r>
    </w:p>
    <w:p w14:paraId="7959B6A2" w14:textId="77777777" w:rsidR="009E68BE" w:rsidRDefault="006A2375" w:rsidP="009E68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237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Вторая </w:t>
      </w:r>
      <w:r w:rsidR="009E68B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– </w:t>
      </w:r>
      <w:r w:rsidRPr="006A237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сеть передвижных станций, оснащенных приборами для измерения концентраций вредных веществ на различных расстояниях от источника в зоне преобладающего (господствующего) направления выбросного потока и в местах вероятного накопления компонентов выброса.</w:t>
      </w:r>
    </w:p>
    <w:p w14:paraId="66EDE0C1" w14:textId="77777777" w:rsidR="009E68BE" w:rsidRDefault="006A2375" w:rsidP="009E68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6A237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Приборы первой сети работают в автоматическом режиме круглосуточно, приборы второй сети применяют выборочно с периодичностью, установленной методикой наблюдений для конкретных условий объекта. В случае выявления особо опасных мест накопления вредных веществ или длительного поддержания их опасных концентраций возможна установка в этих местах на какое-то время стационарных постов наблюдений с помощью приборов второй сети</w:t>
      </w:r>
      <w:r w:rsidR="009E68B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;</w:t>
      </w:r>
    </w:p>
    <w:p w14:paraId="4CCFE0AA" w14:textId="77777777" w:rsidR="009E68BE" w:rsidRDefault="006A2375" w:rsidP="009E68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237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4-я подсистема</w:t>
      </w:r>
      <w:r w:rsidRPr="006A237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, в которую входит сеть стационарных постов, укомплектованных приборами и другими средствами наблюдений за такими изменениями состояния отдельных элементов природной среды, которые, сами по себе не являясь в данный момент экологически опасными, позволяют прогнозировать существенные техногенные нарушения (аварийные ситуации, залповые выбросы и т.п.).</w:t>
      </w:r>
    </w:p>
    <w:p w14:paraId="6541E7A7" w14:textId="77777777" w:rsidR="009E68BE" w:rsidRDefault="006A2375" w:rsidP="009E68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237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Приборы этой подсистемы должны работать в автоматическом режиме круглосуточно.</w:t>
      </w:r>
    </w:p>
    <w:p w14:paraId="67EC0E40" w14:textId="77777777" w:rsidR="009E68BE" w:rsidRDefault="006A2375" w:rsidP="009E68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237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Во «Временном положении о горно-экологическом мониторинге», утвержденном Госгортехнадзором России, Министерством природных ресурсов РФ и </w:t>
      </w:r>
      <w:proofErr w:type="spellStart"/>
      <w:r w:rsidRPr="006A237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Госкомэкологией</w:t>
      </w:r>
      <w:proofErr w:type="spellEnd"/>
      <w:r w:rsidRPr="006A237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России, указано, следующее:</w:t>
      </w:r>
    </w:p>
    <w:p w14:paraId="6E6E4C0B" w14:textId="77777777" w:rsidR="009E68BE" w:rsidRDefault="009E68BE" w:rsidP="009E68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– </w:t>
      </w:r>
      <w:r w:rsidR="006A2375" w:rsidRPr="006A237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горно-экологический мониторинг на горном предприятии осуществляется службой, состав которой, основные обязанности, права и порядок работы определяются Положением о системе горно-экологического мониторинга, утверждаемом руководителем предприятия по согласованию с территориальными органами Госгортехнадзора России и Министерства природных ресурсов России;</w:t>
      </w:r>
    </w:p>
    <w:p w14:paraId="50A37257" w14:textId="77777777" w:rsidR="009E68BE" w:rsidRDefault="009E68BE" w:rsidP="009E68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– </w:t>
      </w:r>
      <w:r w:rsidR="006A2375" w:rsidRPr="006A237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работы по горно-экологическому мониторингу могут выполняться на договорной основе специализированными организациями, имеющими лицензии на виды деятельности, связанные с ведением наблюдений, выдаваемые в установленном порядке органами Госгортехнадзора России, МПР России, </w:t>
      </w:r>
      <w:proofErr w:type="spellStart"/>
      <w:r w:rsidR="006A2375" w:rsidRPr="006A237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Госкомэкологии</w:t>
      </w:r>
      <w:proofErr w:type="spellEnd"/>
      <w:r w:rsidR="006A2375" w:rsidRPr="006A237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России, </w:t>
      </w:r>
      <w:proofErr w:type="spellStart"/>
      <w:r w:rsidR="006A2375" w:rsidRPr="006A237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Госкомзема</w:t>
      </w:r>
      <w:proofErr w:type="spellEnd"/>
      <w:r w:rsidR="006A2375" w:rsidRPr="006A237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России.</w:t>
      </w:r>
    </w:p>
    <w:p w14:paraId="54DE1E46" w14:textId="77777777" w:rsidR="009E68BE" w:rsidRDefault="006A2375" w:rsidP="009E68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6A237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Создание эффективной системы горно-экологического мониторинга обусловлено необходимостью получения надежной и своевременной информации о состоянии природной среды, изменениях, происходящих в ней под воздействием горного производства, и последующего использования этих данных для разработки комплекса мероприятий по охране окружающей среды и рациональному использованию природных ресурсов в горнопромышленных регионах. Данные горно-экологического мониторинга имеют также определяющее значение для определения размеров платежей горного предприятия за загрязнение окружающей среды.</w:t>
      </w:r>
    </w:p>
    <w:p w14:paraId="4846224D" w14:textId="77777777" w:rsidR="00FD0490" w:rsidRDefault="00FD0490" w:rsidP="009E68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4A14008" w14:textId="633C560F" w:rsidR="00FD0490" w:rsidRPr="00FD0490" w:rsidRDefault="00FD0490" w:rsidP="009E68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0490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>Ответьте на вопрос: какие задачи позволит решить о</w:t>
      </w:r>
      <w:r w:rsidRPr="00FD0490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>тветственный подход к экологическому мониторингу недр</w:t>
      </w:r>
      <w:r w:rsidR="00AA16F4" w:rsidRPr="00AA16F4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>?</w:t>
      </w:r>
    </w:p>
    <w:p w14:paraId="140373FE" w14:textId="6385A054" w:rsidR="00FD0490" w:rsidRPr="00FD0490" w:rsidRDefault="00FD0490" w:rsidP="009E68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864942E" w14:textId="77777777" w:rsidR="00FD0490" w:rsidRDefault="00FD0490" w:rsidP="009E68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4C8A35A" w14:textId="66F94A38" w:rsidR="002E66B4" w:rsidRPr="009E68BE" w:rsidRDefault="006A2375" w:rsidP="009E68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237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A237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sectPr w:rsidR="002E66B4" w:rsidRPr="009E68BE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879164B" w14:textId="77777777" w:rsidR="00933386" w:rsidRDefault="00933386" w:rsidP="006A2375">
      <w:pPr>
        <w:spacing w:after="0" w:line="240" w:lineRule="auto"/>
      </w:pPr>
      <w:r>
        <w:separator/>
      </w:r>
    </w:p>
  </w:endnote>
  <w:endnote w:type="continuationSeparator" w:id="0">
    <w:p w14:paraId="7460FCAE" w14:textId="77777777" w:rsidR="00933386" w:rsidRDefault="00933386" w:rsidP="006A23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15497634"/>
      <w:docPartObj>
        <w:docPartGallery w:val="Page Numbers (Bottom of Page)"/>
        <w:docPartUnique/>
      </w:docPartObj>
    </w:sdtPr>
    <w:sdtContent>
      <w:p w14:paraId="00306888" w14:textId="58035226" w:rsidR="006A2375" w:rsidRDefault="006A2375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8231450" w14:textId="77777777" w:rsidR="006A2375" w:rsidRDefault="006A237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8E6C925" w14:textId="77777777" w:rsidR="00933386" w:rsidRDefault="00933386" w:rsidP="006A2375">
      <w:pPr>
        <w:spacing w:after="0" w:line="240" w:lineRule="auto"/>
      </w:pPr>
      <w:r>
        <w:separator/>
      </w:r>
    </w:p>
  </w:footnote>
  <w:footnote w:type="continuationSeparator" w:id="0">
    <w:p w14:paraId="41E18364" w14:textId="77777777" w:rsidR="00933386" w:rsidRDefault="00933386" w:rsidP="006A237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E54237"/>
    <w:multiLevelType w:val="multilevel"/>
    <w:tmpl w:val="F5C4F3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66B4"/>
    <w:rsid w:val="002E66B4"/>
    <w:rsid w:val="006A2375"/>
    <w:rsid w:val="008145A3"/>
    <w:rsid w:val="00933386"/>
    <w:rsid w:val="009E68BE"/>
    <w:rsid w:val="00AA16F4"/>
    <w:rsid w:val="00FD04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6629B2"/>
  <w15:chartTrackingRefBased/>
  <w15:docId w15:val="{DAFD3D6F-E295-4369-AFED-638C5E976A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A2375"/>
    <w:pPr>
      <w:spacing w:line="256" w:lineRule="auto"/>
    </w:pPr>
  </w:style>
  <w:style w:type="paragraph" w:styleId="1">
    <w:name w:val="heading 1"/>
    <w:basedOn w:val="a"/>
    <w:next w:val="a"/>
    <w:link w:val="10"/>
    <w:uiPriority w:val="9"/>
    <w:qFormat/>
    <w:rsid w:val="00FD049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A23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A2375"/>
  </w:style>
  <w:style w:type="paragraph" w:styleId="a5">
    <w:name w:val="footer"/>
    <w:basedOn w:val="a"/>
    <w:link w:val="a6"/>
    <w:uiPriority w:val="99"/>
    <w:unhideWhenUsed/>
    <w:rsid w:val="006A23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A2375"/>
  </w:style>
  <w:style w:type="paragraph" w:styleId="a7">
    <w:name w:val="Normal (Web)"/>
    <w:basedOn w:val="a"/>
    <w:uiPriority w:val="99"/>
    <w:semiHidden/>
    <w:unhideWhenUsed/>
    <w:rsid w:val="00FD04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D049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a8">
    <w:name w:val="Стиль полужирный"/>
    <w:uiPriority w:val="99"/>
    <w:rsid w:val="00FD04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402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9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4</Pages>
  <Words>1802</Words>
  <Characters>10273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2020-11-26T00:12:00Z</dcterms:created>
  <dcterms:modified xsi:type="dcterms:W3CDTF">2020-11-26T01:16:00Z</dcterms:modified>
</cp:coreProperties>
</file>