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66" w:rsidRDefault="000F7466" w:rsidP="000F7466">
      <w:pPr>
        <w:pageBreakBefore/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предпринимательского мышления в сфере образования в условиях цифровой экономики</w:t>
      </w:r>
    </w:p>
    <w:p w:rsidR="000F7466" w:rsidRDefault="000F7466" w:rsidP="000F7466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Формирование </w:t>
      </w:r>
      <w:r>
        <w:rPr>
          <w:rFonts w:ascii="Times New Roman" w:hAnsi="Times New Roman"/>
          <w:b/>
          <w:sz w:val="28"/>
          <w:szCs w:val="28"/>
        </w:rPr>
        <w:t xml:space="preserve">предпринимательского мышления, </w:t>
      </w:r>
      <w:r>
        <w:rPr>
          <w:rFonts w:ascii="Times New Roman" w:hAnsi="Times New Roman"/>
          <w:b/>
          <w:bCs/>
          <w:sz w:val="28"/>
          <w:szCs w:val="28"/>
        </w:rPr>
        <w:t>предпринимательских компетенций: модульный подход</w:t>
      </w:r>
    </w:p>
    <w:p w:rsidR="000F7466" w:rsidRDefault="000F7466" w:rsidP="000F74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экономического образования на современном этапе – заложить основы экономической, правовой и предпринимательской культуры обучающихся, способствовать формированию общественно-активной личности в условиях развития цифровой экономики. Эта проблема напрямую связана со всеми уровнями образования, а именно с формированием у студентов предпринимательских компетенций. 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«Система обучения предпринимательства, очевидно, должна быть непрерывна. Это первое, чего в России так недостает, и если сравнивать Россию с англо-саксонскими странами, то главное наше отличие заключается в многообразии там форм и модулей предпринимательского образования, занятий различного рода, в том числе в игровых формах – от деловых игр до конкурсов среди детей»</w:t>
      </w:r>
      <w:r>
        <w:rPr>
          <w:rStyle w:val="a6"/>
          <w:rFonts w:ascii="Times New Roman" w:eastAsia="TimesNewRomanPSMT" w:hAnsi="Times New Roman"/>
          <w:sz w:val="28"/>
          <w:szCs w:val="28"/>
        </w:rPr>
        <w:footnoteReference w:id="1"/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По мнению Ю. Б. Рубина: «Нет в настоящее время более важных вопросов в сфере российского предпринимательства, чем определение векторов, путей, направлений, траектории развития предпринимательского образования. Чтобы обеспечить страну эффективными, конкурентоспособными предпринимателями и конкурентоспособной системой предпринимательства, эту систему надо создать. Ее нужно воспитать, сформировать и сделать ее действительно конкурентоспособной. Для этого нужно вырастить самих предпринимателей, которые станут клеточками этой системы»</w:t>
      </w:r>
      <w:r>
        <w:rPr>
          <w:rStyle w:val="a6"/>
          <w:rFonts w:ascii="Times New Roman" w:eastAsia="TimesNewRomanPSMT" w:hAnsi="Times New Roman"/>
          <w:sz w:val="28"/>
          <w:szCs w:val="28"/>
        </w:rPr>
        <w:footnoteReference w:id="2"/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Наиболее значимыми предпринимательскими компетенциями, которыми должны обладать выпускники ВУЗов, в условиях развития цифровой экономики, представляются: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1) способность, готовность и умение видеть возможности, делать рациональный выбор, проявлять волю для создания бизнеса в новых вызовах развития цифровых технологий;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2) умение применить знания об организации, деятельности и развитии своего бизнеса, с учетом макро- и микросреды, психологических особенностях человека, создания бизнес-плана в условиях цифровой экономики;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3) способность обучаться, менять мышление, передавать знания окружающим с применением, использованием современных достижение науки и образования;  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4) умение устанавливать деловые коммуникации как во внутренней среде так и во внешней для формирования элементов бизнеса в современных условиях – применения цифровых технологий;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5) привлечение и введение в хозяйственный оборот информационных ресурсов;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6) готовность брать на себя рыночное лидерство, проявлять инициативу, управлять рисками, ломать шаблоны, брать на себя ответственность, конкурировать с другими субъектами, что особенно становится в современных условиях цифровой экономики;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7) способность, готовность и умение включать в свою предпринимательскую деятельность новые компетенции: свои, сотрудников, партнеров.</w:t>
      </w:r>
    </w:p>
    <w:p w:rsidR="000F7466" w:rsidRDefault="000F7466" w:rsidP="000F7466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right="-5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Новые вызовы в век новых, цифровых технологий заставляют попытаться  понять, а какие черты предпринимательского образа мышления </w:t>
      </w:r>
    </w:p>
    <w:p w:rsidR="000F7466" w:rsidRDefault="000F7466" w:rsidP="000F7466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right="431"/>
        <w:jc w:val="both"/>
        <w:rPr>
          <w:sz w:val="28"/>
          <w:szCs w:val="28"/>
        </w:rPr>
      </w:pPr>
      <w:r>
        <w:rPr>
          <w:sz w:val="28"/>
          <w:szCs w:val="28"/>
        </w:rPr>
        <w:t>и их сущность присущи при осуществлении предпринимательской деятельности (табл. 1.)</w:t>
      </w:r>
    </w:p>
    <w:p w:rsidR="000F7466" w:rsidRDefault="000F7466" w:rsidP="000F7466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right="-5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1.</w:t>
      </w:r>
    </w:p>
    <w:p w:rsidR="000F7466" w:rsidRDefault="000F7466" w:rsidP="000F7466">
      <w:pPr>
        <w:pStyle w:val="a7"/>
        <w:widowControl w:val="0"/>
        <w:shd w:val="clear" w:color="auto" w:fill="FFFFFF"/>
        <w:spacing w:before="0" w:beforeAutospacing="0" w:after="0" w:afterAutospacing="0" w:line="360" w:lineRule="auto"/>
        <w:ind w:right="-5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Черты предпринимательского образа мышления и их сущность при осуществлении предпринимательской деятельности </w:t>
      </w:r>
      <w:r>
        <w:rPr>
          <w:sz w:val="28"/>
          <w:szCs w:val="28"/>
        </w:rPr>
        <w:t>(переработано и дополнено В.Ю. Буровым)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8"/>
      </w:tblGrid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Черты предпринимательского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Сущность черт предпринимательского мышления</w:t>
            </w:r>
          </w:p>
        </w:tc>
      </w:tr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rStyle w:val="a8"/>
                <w:sz w:val="22"/>
                <w:szCs w:val="22"/>
                <w:lang w:eastAsia="en-US"/>
              </w:rPr>
              <w:t>Самостоятельность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Усложнение выбора задач, а также их решений.  Мышление предпринимателя обязательно должно обладать базой новых знаний в области цифровой экономики </w:t>
            </w:r>
          </w:p>
        </w:tc>
      </w:tr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rStyle w:val="a8"/>
                <w:sz w:val="22"/>
                <w:szCs w:val="22"/>
                <w:lang w:eastAsia="en-US"/>
              </w:rPr>
              <w:t>Гибкость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Способность быстро отказываться от ранее принятых решений, если они уже не соответствуют новым условиям. Крайне важным свойством становится обучению предпринимателя новым знаниям цифровых технологий</w:t>
            </w:r>
          </w:p>
        </w:tc>
      </w:tr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Критичность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Способность беспристрастно оценивать результаты собственной мыслительной и трудовой деятельности. Критичность мышления связана с гибкостью мышления, и эти свойства дополняют друг друга</w:t>
            </w:r>
          </w:p>
        </w:tc>
      </w:tr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rStyle w:val="a8"/>
                <w:sz w:val="22"/>
                <w:szCs w:val="22"/>
                <w:lang w:eastAsia="en-US"/>
              </w:rPr>
              <w:lastRenderedPageBreak/>
              <w:t>Широта и глубина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Наличие большого кругозора, способности видеть множество факторов, влияющих на конечный результат деятельности. Глубина мышления - это способность вникнуть глубоко в суть явлений, понять их причину, дать оценку</w:t>
            </w:r>
          </w:p>
        </w:tc>
      </w:tr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rStyle w:val="a8"/>
                <w:sz w:val="22"/>
                <w:szCs w:val="22"/>
                <w:lang w:eastAsia="en-US"/>
              </w:rPr>
              <w:t>Целенаправленность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Способность в течение продолжительного времени подчинять свой мыслительный процесс определенной задаче</w:t>
            </w:r>
          </w:p>
        </w:tc>
      </w:tr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rStyle w:val="a8"/>
                <w:sz w:val="22"/>
                <w:szCs w:val="22"/>
                <w:lang w:eastAsia="en-US"/>
              </w:rPr>
              <w:t>Экономичность мышления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Способность придумывать, как получать наибольший результат при наименьших затратах и усилиях. Сначала это отражается в мыслительной деятельности предпринимателя, а затем и в его предпринимательском труде. Нужно получить результат эффективно используя информацию с применением  информационных технологий</w:t>
            </w:r>
          </w:p>
        </w:tc>
      </w:tr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rStyle w:val="a8"/>
                <w:sz w:val="22"/>
                <w:szCs w:val="22"/>
                <w:lang w:eastAsia="en-US"/>
              </w:rPr>
              <w:t>Гибкое использование человеческих ресурсов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Методы, инструменты и прочие средства, с помощью которых можно наиболее эффективно и с минимальными затратами сотрудничать с наемным персоналом и получать ожидаемые результаты</w:t>
            </w:r>
          </w:p>
        </w:tc>
      </w:tr>
      <w:tr w:rsidR="000F7466" w:rsidTr="000F746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rStyle w:val="a8"/>
                <w:sz w:val="22"/>
                <w:szCs w:val="22"/>
                <w:lang w:eastAsia="en-US"/>
              </w:rPr>
              <w:t>Капитал и слагаемые предпринимательского успеха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66" w:rsidRDefault="000F7466">
            <w:pPr>
              <w:pStyle w:val="a7"/>
              <w:widowControl w:val="0"/>
              <w:spacing w:before="0" w:beforeAutospacing="0" w:after="0" w:afterAutospacing="0" w:line="276" w:lineRule="auto"/>
              <w:ind w:right="4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Средства, используемые для извлечения предпринимательской прибыли: технические средства производства, денежные элементы оборотного капитала, интеллектуальная собственность  цифровой экономики</w:t>
            </w:r>
          </w:p>
        </w:tc>
      </w:tr>
    </w:tbl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Новый взгляд на формирование новых  предпринимательских компетенций: модульный подход. </w:t>
      </w:r>
      <w:r>
        <w:rPr>
          <w:rFonts w:ascii="Times New Roman" w:eastAsia="TimesNewRomanPSMT" w:hAnsi="Times New Roman"/>
          <w:sz w:val="28"/>
          <w:szCs w:val="28"/>
        </w:rPr>
        <w:t xml:space="preserve">В условиях развития цифровой экономики изменились подходы к формированию профессиональных предпринимательских компетенций в процессе обучения студентов и слушателей в системе высшего образования. 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На взгляд отдельных специалистов, причины, по которым необходимо изменение предпринимательского образования в вузах Российской Федерации будут, на наш взгляд, следующими: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экономические: создание новых высокоэффективных рабочих мест за счет самозанятости и организации стартапов;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социальные: снижение социальной напряженности в среде выпускников и студентов высших учебных заведений;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психологические: повышение степени уверенности в будущем благодаря возможности создать свой бизнес</w:t>
      </w:r>
      <w:r>
        <w:rPr>
          <w:rStyle w:val="a6"/>
          <w:rFonts w:ascii="Times New Roman" w:eastAsia="TimesNewRomanPSMT" w:hAnsi="Times New Roman"/>
          <w:sz w:val="28"/>
          <w:szCs w:val="28"/>
        </w:rPr>
        <w:footnoteReference w:id="3"/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При этом отметим, что в настоящее время предпринимательские компетенции в системе образования унифицированы частично, и в этой связи назрела необходимость в </w:t>
      </w:r>
      <w:r>
        <w:rPr>
          <w:rFonts w:ascii="Times New Roman" w:eastAsia="TimesNewRomanPSMT" w:hAnsi="Times New Roman"/>
          <w:sz w:val="28"/>
          <w:szCs w:val="28"/>
        </w:rPr>
        <w:lastRenderedPageBreak/>
        <w:t>интеграции и взаимодействии вузов по следующим направлениям: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В единой унифицированной системе предпринимательского образования могут присутствовать следующие модули, формирующие предпринимательские компетенции: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  «От бизнес-идеи до бизнеса»;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«Коммерциализация бизнес-идей и результатов инновационной деятельности»;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«Как создать инновационное предприятие в вузе»;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– «Управление семейным бизнесом: развитие и наследование».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Предлагаемый комплекс модулей направлен на формирование целостного представления и системы навыков, которые при определенной внешней поддержке позволят молодым людям быть реально интегрированными в бизнес-среду.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7466" w:rsidRDefault="000F7466" w:rsidP="000F7466">
      <w:pPr>
        <w:pStyle w:val="a5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 Платные образовательные услуги и предпринимательская деятельность в образовательных организациях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Статьей 48 (пункт 8) Закона «Об образовании в Российской Федерации» образовательным учреждениям предоставлено право осуществления платной образовательной деятельности. «Образовательное учреждение независимо от его организационно-правовой формы вправе привлекать в порядке, установленном законодательством Российской Федерации, дополнительные финансовые, в том числе валютные, средства за счет предоставления платных дополнительных образовательных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лиц»</w:t>
      </w:r>
      <w:r>
        <w:rPr>
          <w:rStyle w:val="a6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. Более того, там же (в пункте 9) указано, что привлечение образовательным учреждением дополнительных средств не влечет за собой снижение его финансирования из средств учредителя.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образовательные услуги. Основные услуги (такого термина, правда, в законе нет, но иначе их назвать сложно) - обучение по программам общего и профессионального образования на тех местах, на которых учащиеся и студенты обучаются бесплатно за счет финансирования из средств государственного и муниципального бюджета.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Сверх этого учебные заведения могут принимать учащихся на обучение по договорам (на платной основе). Разумеется, это относится к тем уровням образования, </w:t>
      </w:r>
      <w:r>
        <w:rPr>
          <w:rFonts w:ascii="Times New Roman" w:hAnsi="Times New Roman"/>
          <w:sz w:val="28"/>
          <w:szCs w:val="28"/>
        </w:rPr>
        <w:lastRenderedPageBreak/>
        <w:t>обучение на которых осуществляется на основе конкурсного отбора, т.е. на ограниченном числе мест в образовательных учреждениях высшего и среднего профессионального образования. Имеются ограничения на обучение по специальностям юриспруденции, экономики, менеджмента, государственного и муниципального управления. Прием на платной основе на эти специальности не должен превышать 25% общего приема на обучение по этим специальностям (бесплатного и по договорам).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Попутно стоит обратить внимание, что ограничение приема имеет место по специальностям, пользующимся повышенным спросом. Вокруг этого ограничения сломано немало копий. Разумеется, в условиях отсутствия ограничений государственные учебные заведения могли бы, в принципе, свернуть бесплатную подготовку по этим специальностям до минимума, если</w:t>
      </w:r>
    </w:p>
    <w:p w:rsidR="000F7466" w:rsidRDefault="000F7466" w:rsidP="000F7466">
      <w:pPr>
        <w:pStyle w:val="a5"/>
        <w:widowControl w:val="0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вообще не закрыть, и оставить только платное обучение.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Предпринимательская деятельность образовательного учреждения. </w:t>
      </w:r>
      <w:r>
        <w:rPr>
          <w:rFonts w:ascii="Times New Roman" w:hAnsi="Times New Roman"/>
          <w:sz w:val="28"/>
          <w:szCs w:val="28"/>
        </w:rPr>
        <w:t>Данному виду деятельности посвящена статья 47 Закона «Об образовании»  ФЗ «Об образовании в Российской Федерации»: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Образовательное учреждение вправе вести предпринимательскую деятельность, предусмотренную его уставом.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предпринимательской деятельности образовательного учреждения относятся:</w:t>
      </w:r>
    </w:p>
    <w:p w:rsidR="000F7466" w:rsidRDefault="000F7466" w:rsidP="000F746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и сдача в аренду основных фондов и имущества образовательного учреждения;</w:t>
      </w:r>
    </w:p>
    <w:p w:rsidR="000F7466" w:rsidRDefault="000F7466" w:rsidP="000F746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торговля покупными товарами, оборудованием;</w:t>
      </w:r>
    </w:p>
    <w:p w:rsidR="000F7466" w:rsidRDefault="000F7466" w:rsidP="000F746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посреднических услуг;</w:t>
      </w:r>
    </w:p>
    <w:p w:rsidR="000F7466" w:rsidRDefault="000F7466" w:rsidP="000F746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долевое участие в деятельности других учреждений (в том числе образовательных) и организаций;</w:t>
      </w:r>
    </w:p>
    <w:p w:rsidR="000F7466" w:rsidRDefault="000F7466" w:rsidP="000F746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акций, облигаций, иных ценных бумаг и получение доходов (дивидендов, процентов) по ним;</w:t>
      </w:r>
    </w:p>
    <w:p w:rsidR="000F7466" w:rsidRDefault="000F7466" w:rsidP="000F7466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приносящих доходы иных внереализационных операций, непосредственно не связанных с собственным производством предусмотренных уставом продукции, работ, услуг и с их реализацией.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Деятельность образовательного учреждения по реализации предусмотренных уставом этого образовательного учреждения производимой продукции, работ и услуг относится к предпринимательской лишь в той части, в которой получаемый от этой </w:t>
      </w:r>
      <w:r>
        <w:rPr>
          <w:rFonts w:ascii="Times New Roman" w:hAnsi="Times New Roman"/>
          <w:sz w:val="28"/>
          <w:szCs w:val="28"/>
        </w:rPr>
        <w:lastRenderedPageBreak/>
        <w:t>деятельности доход не реинвестируется непосредственно в данное образовательное учреждение и (или) на непосредственные нужды обеспечения, развития и совершенствования образовательного процесса (в том числе на заработную плату) в данном образовательном учреждении.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своей предпринимательской деятельности образовательное учреждение приравнивается к предприятию и подпадает под действие законодательства Российской Федерации в области предпринимательской деятельности.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Учредитель или органы местного самоуправления вправе приостановить предпринимательскую деятельность образовательного учреждения, если она идет в ущерб образовательной деятельности, предусмотренной уставом, до решения суда по этому вопросу»</w:t>
      </w:r>
      <w:r>
        <w:rPr>
          <w:rStyle w:val="a6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законодательство предоставляет образовательным учреждениям осуществлять практически любую деятельность.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Благотворительность как один из базовых источников финансирования в системе экономики образования</w:t>
      </w:r>
      <w:r>
        <w:rPr>
          <w:rStyle w:val="a6"/>
          <w:rFonts w:ascii="Times New Roman" w:hAnsi="Times New Roman"/>
          <w:b/>
          <w:i/>
          <w:sz w:val="28"/>
          <w:szCs w:val="28"/>
        </w:rPr>
        <w:footnoteReference w:id="6"/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Любой исследователь занимающийся историей образования России скажет, что невозможно обойти вниманием ту роль, которую сыграли российские благотворители в становлении российского просвещения.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говорить о благотворительности применительно к образованию, то наверное больше всего к пониманию этого понятия близко определение данное в «Толковом словаре русского языка» С. И. Ожегова: «Благотворительность – действия и поступки безвозмездного характера, направленные на общественную пользу или на оказание материальной помощи неимущим». Благотворительность в образовании была именно и деятельностью направленной на общественную пользу, и помощью неимущим, которая давала возможность через получение бесплатного образования выйти из низших социальных слоев. От того, что бедные могли получить образование и приобрести трудовые навыки, дающие им возможность обеспечивать себя и свои семьи, выигрывала не только личность, но и все общество.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рассматривать исторические аспекты благотворительной деятельности, то мы увидим, что, сколько существует человечество, столько существует такое понятие как благотворительность. Организационные формы и цели благотворительной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деятельности зависели от особенностей культуры присущей конкретному человеческому обществу. 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Благотворительность в области образования</w:t>
      </w:r>
      <w:r>
        <w:rPr>
          <w:rFonts w:ascii="Times New Roman" w:hAnsi="Times New Roman"/>
          <w:sz w:val="28"/>
          <w:szCs w:val="28"/>
        </w:rPr>
        <w:t xml:space="preserve"> на протяжении всей истории человечества занимала особое место, так как в зависимости от формы, в которой благотворитель жертвовал на нужды образования и целей которые он преследовал, эту помощь можно отнести либо к помощи физическим лицам через создание социальных институтов, либо к помощи обществу в целом. Так, например, пожертвования для университета – это уже благотворительность в пользу всего общества в целом, потому что, жертвуя на университет, благотворитель заботится об улучшение образовательного уровня всего общества.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советское время на смену понятиям попечительства пришли такие понятия как «базовые предприятия», «шефство» и т. д. В роли заботливого покровителя выступали различные производственные предприятия, общественные объединения, творческие союзы.</w:t>
      </w:r>
    </w:p>
    <w:p w:rsidR="000F7466" w:rsidRDefault="000F7466" w:rsidP="000F746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Благотворительную деятельность на территории Российской федерации сегодня регулирует закон «О благотворительности и благотворительных организациях» от 11 августа 1995 г. №135-ФЗ</w:t>
      </w:r>
      <w:r>
        <w:rPr>
          <w:rStyle w:val="a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>.</w:t>
      </w:r>
    </w:p>
    <w:p w:rsidR="000F7466" w:rsidRDefault="000F7466" w:rsidP="000F7466">
      <w:pPr>
        <w:pStyle w:val="a5"/>
        <w:widowControl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Современная благотворительность ставит пред собой несколько иные задачи, чем раньше. Это, прежде всего, реализация сложных благотворительных программ, в результате которых должны быть решены задачи, не решаемые государством в силу сложности и громоздкости его механизмов, или недостатка финансовых средств.</w:t>
      </w:r>
    </w:p>
    <w:p w:rsidR="000F7466" w:rsidRDefault="000F7466" w:rsidP="000F7466"/>
    <w:p w:rsidR="000F7466" w:rsidRDefault="000F7466" w:rsidP="000F7466"/>
    <w:p w:rsidR="00E93FBC" w:rsidRPr="00C72A6B" w:rsidRDefault="00E93FBC" w:rsidP="00C72A6B">
      <w:bookmarkStart w:id="0" w:name="_GoBack"/>
      <w:bookmarkEnd w:id="0"/>
    </w:p>
    <w:sectPr w:rsidR="00E93FBC" w:rsidRPr="00C72A6B" w:rsidSect="003F3E3D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50" w:rsidRDefault="00B32250" w:rsidP="003F3E3D">
      <w:pPr>
        <w:spacing w:after="0" w:line="240" w:lineRule="auto"/>
      </w:pPr>
      <w:r>
        <w:separator/>
      </w:r>
    </w:p>
  </w:endnote>
  <w:endnote w:type="continuationSeparator" w:id="0">
    <w:p w:rsidR="00B32250" w:rsidRDefault="00B32250" w:rsidP="003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50" w:rsidRDefault="00B32250" w:rsidP="003F3E3D">
      <w:pPr>
        <w:spacing w:after="0" w:line="240" w:lineRule="auto"/>
      </w:pPr>
      <w:r>
        <w:separator/>
      </w:r>
    </w:p>
  </w:footnote>
  <w:footnote w:type="continuationSeparator" w:id="0">
    <w:p w:rsidR="00B32250" w:rsidRDefault="00B32250" w:rsidP="003F3E3D">
      <w:pPr>
        <w:spacing w:after="0" w:line="240" w:lineRule="auto"/>
      </w:pPr>
      <w:r>
        <w:continuationSeparator/>
      </w:r>
    </w:p>
  </w:footnote>
  <w:footnote w:id="1">
    <w:p w:rsidR="000F7466" w:rsidRDefault="000F7466" w:rsidP="000F7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Чепуренко А.Ю. </w:t>
      </w:r>
      <w:r>
        <w:rPr>
          <w:rFonts w:ascii="Times New Roman" w:hAnsi="Times New Roman"/>
          <w:bCs/>
          <w:sz w:val="20"/>
          <w:szCs w:val="20"/>
        </w:rPr>
        <w:t xml:space="preserve"> Роль обучения в активизации предпринимательского потенциала российского общества. Материалы</w:t>
      </w:r>
      <w:r>
        <w:rPr>
          <w:rFonts w:ascii="Times New Roman" w:eastAsia="TimesNewRomanPSMT" w:hAnsi="Times New Roman"/>
          <w:sz w:val="20"/>
          <w:szCs w:val="20"/>
        </w:rPr>
        <w:t xml:space="preserve"> международной конференции «Формирование профессиональных предпринимательских компетенций молодежи в процессе обучения предпринимательству». Сборник тезисов докладов. – М.: Московский финансово-промышленный университет «Синергия», 2014. – 282 с</w:t>
      </w:r>
    </w:p>
  </w:footnote>
  <w:footnote w:id="2">
    <w:p w:rsidR="000F7466" w:rsidRDefault="000F7466" w:rsidP="000F7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Рубин Ю.Б. Компетентностный подход в обучении российской молодежи предпринимательству.  Материалы</w:t>
      </w:r>
      <w:r>
        <w:rPr>
          <w:rFonts w:ascii="Times New Roman" w:eastAsia="TimesNewRomanPSMT" w:hAnsi="Times New Roman"/>
          <w:sz w:val="20"/>
          <w:szCs w:val="20"/>
        </w:rPr>
        <w:t xml:space="preserve"> международной конференции «Формирование профессиональных предпринимательских компетенций молодежи в процессе обучения предпринимательству». Сборник тезисов докладов. – М.: Московский финансово-промышленный университет «Синергия», 2014. – С. 5 (282 с.)</w:t>
      </w:r>
    </w:p>
  </w:footnote>
  <w:footnote w:id="3">
    <w:p w:rsidR="000F7466" w:rsidRDefault="000F7466" w:rsidP="000F7466">
      <w:pPr>
        <w:pStyle w:val="a3"/>
        <w:widowControl w:val="0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Леонтьева Л.С.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</w:rPr>
        <w:t>Модульный подход к формированию новых предпринимательских компетенций. Материалы</w:t>
      </w:r>
      <w:r>
        <w:rPr>
          <w:rFonts w:ascii="Times New Roman" w:eastAsia="TimesNewRomanPSMT" w:hAnsi="Times New Roman"/>
        </w:rPr>
        <w:t xml:space="preserve"> международной конференции «Формирование профессиональных предпринимательских компетенций молодежи в процессе обучения предпринимательству». Сборник тезисов докладов. – М.: Московский финансово-промышленный университет «Синергия», 2014. – С. 117-124. (282 с.)</w:t>
      </w:r>
    </w:p>
  </w:footnote>
  <w:footnote w:id="4">
    <w:p w:rsidR="000F7466" w:rsidRDefault="000F7466" w:rsidP="000F746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Федеральный закон «Об образовании в Российской Федерации» от 29.12.2012 N 273-ФЗ (последняя редакция)</w:t>
      </w:r>
    </w:p>
    <w:p w:rsidR="000F7466" w:rsidRDefault="000F7466" w:rsidP="000F7466">
      <w:pPr>
        <w:pStyle w:val="a3"/>
        <w:widowControl w:val="0"/>
        <w:rPr>
          <w:rFonts w:ascii="Times New Roman" w:hAnsi="Times New Roman"/>
        </w:rPr>
      </w:pPr>
    </w:p>
  </w:footnote>
  <w:footnote w:id="5">
    <w:p w:rsidR="000F7466" w:rsidRDefault="000F7466" w:rsidP="000F7466">
      <w:pPr>
        <w:pStyle w:val="a3"/>
        <w:widowControl w:val="0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же. Федеральный закон «Об образовании в Российской Федерации»</w:t>
      </w:r>
    </w:p>
  </w:footnote>
  <w:footnote w:id="6">
    <w:p w:rsidR="000F7466" w:rsidRDefault="000F7466" w:rsidP="000F7466">
      <w:pPr>
        <w:pStyle w:val="a3"/>
        <w:widowControl w:val="0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Источник: Основы экономики образования. Учебное пособие – М.: Мир науки, 2017.– Режим доступа: http://izd-mn.com/PDF/19MNNPU17.pdf – Загл. с экрана.</w:t>
      </w:r>
    </w:p>
  </w:footnote>
  <w:footnote w:id="7">
    <w:p w:rsidR="000F7466" w:rsidRDefault="000F7466" w:rsidP="000F7466">
      <w:pPr>
        <w:pStyle w:val="a3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Федеральный закон «О благотворительности и благотворительных организациях» от 11 августа 1995 г. №135-ФЗ. (в ред. ФЗ от 21.03.2002 № 31-ФЗ, от 25.07.2002 №112-ФЗ, от 04.07.2003 №94- ФЗ, от 22.08.2004 № 122-ФЗ, от 30ю12.2006 № 276-ФЗ, от 30.12.2008 № 309-ФЗ, от 23.12.2010 № 383-ФЗ)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3E15"/>
    <w:multiLevelType w:val="hybridMultilevel"/>
    <w:tmpl w:val="D7E29CBE"/>
    <w:lvl w:ilvl="0" w:tplc="F230AA32">
      <w:start w:val="1"/>
      <w:numFmt w:val="bullet"/>
      <w:lvlText w:val="−"/>
      <w:lvlJc w:val="left"/>
      <w:pPr>
        <w:ind w:left="1429" w:hanging="360"/>
      </w:pPr>
      <w:rPr>
        <w:rFonts w:ascii="Raavi" w:hAnsi="Raavi" w:hint="default"/>
      </w:rPr>
    </w:lvl>
    <w:lvl w:ilvl="1" w:tplc="F230AA32">
      <w:start w:val="1"/>
      <w:numFmt w:val="bullet"/>
      <w:lvlText w:val="−"/>
      <w:lvlJc w:val="left"/>
      <w:pPr>
        <w:ind w:left="2149" w:hanging="360"/>
      </w:pPr>
      <w:rPr>
        <w:rFonts w:ascii="Raavi" w:hAnsi="Raavi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B451AC"/>
    <w:multiLevelType w:val="hybridMultilevel"/>
    <w:tmpl w:val="0F1A9A1A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311CA3"/>
    <w:multiLevelType w:val="multilevel"/>
    <w:tmpl w:val="E2A67A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2" w:hanging="43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7ABE1E12"/>
    <w:multiLevelType w:val="hybridMultilevel"/>
    <w:tmpl w:val="A07ADC4C"/>
    <w:lvl w:ilvl="0" w:tplc="F230AA32">
      <w:start w:val="1"/>
      <w:numFmt w:val="bullet"/>
      <w:lvlText w:val="−"/>
      <w:lvlJc w:val="left"/>
      <w:pPr>
        <w:ind w:left="1428" w:hanging="360"/>
      </w:pPr>
      <w:rPr>
        <w:rFonts w:ascii="Raavi" w:hAnsi="Raav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FFE"/>
    <w:rsid w:val="000A72F2"/>
    <w:rsid w:val="000F7466"/>
    <w:rsid w:val="00366A10"/>
    <w:rsid w:val="003F1A7E"/>
    <w:rsid w:val="003F3E3D"/>
    <w:rsid w:val="005D236F"/>
    <w:rsid w:val="00600B3F"/>
    <w:rsid w:val="006D71E4"/>
    <w:rsid w:val="00732FFE"/>
    <w:rsid w:val="00B32250"/>
    <w:rsid w:val="00C36A49"/>
    <w:rsid w:val="00C72A6B"/>
    <w:rsid w:val="00CC03C0"/>
    <w:rsid w:val="00E9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paragraph" w:styleId="a7">
    <w:name w:val="Normal (Web)"/>
    <w:basedOn w:val="a"/>
    <w:uiPriority w:val="99"/>
    <w:unhideWhenUsed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semiHidden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1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E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E3D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F3E3D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3F3E3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uiPriority w:val="99"/>
    <w:semiHidden/>
    <w:rsid w:val="003F1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1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2001</Words>
  <Characters>11410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8</cp:revision>
  <dcterms:created xsi:type="dcterms:W3CDTF">2020-10-18T03:46:00Z</dcterms:created>
  <dcterms:modified xsi:type="dcterms:W3CDTF">2020-12-07T03:05:00Z</dcterms:modified>
</cp:coreProperties>
</file>