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E5" w:rsidRDefault="001069E5" w:rsidP="001069E5">
      <w:pPr>
        <w:spacing w:before="28" w:after="28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 </w:t>
      </w:r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-19</w:t>
      </w:r>
    </w:p>
    <w:p w:rsidR="001069E5" w:rsidRDefault="001069E5" w:rsidP="001069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Дисциплина «Коррекционно-развивающая работа  работе в дошкольной образовательной организации»</w:t>
      </w:r>
    </w:p>
    <w:p w:rsidR="001069E5" w:rsidRDefault="001069E5" w:rsidP="001069E5">
      <w:pPr>
        <w:jc w:val="both"/>
        <w:rPr>
          <w:rFonts w:ascii="Times New Roman" w:hAnsi="Times New Roman"/>
          <w:b/>
          <w:sz w:val="28"/>
          <w:szCs w:val="28"/>
        </w:rPr>
      </w:pPr>
    </w:p>
    <w:p w:rsidR="001069E5" w:rsidRDefault="001069E5" w:rsidP="001069E5">
      <w:pPr>
        <w:autoSpaceDE w:val="0"/>
        <w:autoSpaceDN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Лекция: Методические материалы для разработки адаптированной образовательной программы дошкольного образования</w:t>
      </w:r>
    </w:p>
    <w:p w:rsidR="001069E5" w:rsidRDefault="001069E5" w:rsidP="001069E5">
      <w:pPr>
        <w:autoSpaceDE w:val="0"/>
        <w:autoSpaceDN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069E5" w:rsidRDefault="001069E5" w:rsidP="001069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1C1C1C"/>
          <w:sz w:val="28"/>
          <w:szCs w:val="28"/>
        </w:rPr>
      </w:pPr>
      <w:r>
        <w:rPr>
          <w:rFonts w:ascii="Times New Roman" w:hAnsi="Times New Roman"/>
          <w:color w:val="1C1C1C"/>
          <w:sz w:val="28"/>
          <w:szCs w:val="28"/>
        </w:rPr>
        <w:t>Особое значение для разработчиков АОП имеет учет имеющегося опыта разработки адаптированных основных образовательных программ (АООП) для разных категорий дошкольников с ОВЗ.</w:t>
      </w:r>
    </w:p>
    <w:p w:rsidR="001069E5" w:rsidRDefault="001069E5" w:rsidP="001069E5">
      <w:pPr>
        <w:shd w:val="clear" w:color="auto" w:fill="FFFFFF"/>
        <w:spacing w:after="0" w:line="360" w:lineRule="auto"/>
        <w:ind w:firstLine="709"/>
        <w:jc w:val="both"/>
        <w:rPr>
          <w:color w:val="1C1C1C"/>
          <w:sz w:val="28"/>
          <w:szCs w:val="28"/>
        </w:rPr>
      </w:pPr>
      <w:r>
        <w:rPr>
          <w:rFonts w:ascii="inherit" w:hAnsi="inherit"/>
          <w:color w:val="1C1C1C"/>
          <w:sz w:val="28"/>
          <w:szCs w:val="28"/>
        </w:rPr>
        <w:t xml:space="preserve">Можно использовать методические материалы, связанные с введением ФГОС начального общего образования для </w:t>
      </w:r>
      <w:proofErr w:type="gramStart"/>
      <w:r>
        <w:rPr>
          <w:rFonts w:ascii="inherit" w:hAnsi="inherit"/>
          <w:color w:val="1C1C1C"/>
          <w:sz w:val="28"/>
          <w:szCs w:val="28"/>
        </w:rPr>
        <w:t>обучающихся</w:t>
      </w:r>
      <w:proofErr w:type="gramEnd"/>
      <w:r>
        <w:rPr>
          <w:rFonts w:ascii="inherit" w:hAnsi="inherit"/>
          <w:color w:val="1C1C1C"/>
          <w:sz w:val="28"/>
          <w:szCs w:val="28"/>
        </w:rPr>
        <w:t xml:space="preserve"> с ОВЗ (2016)</w:t>
      </w:r>
      <w:r>
        <w:rPr>
          <w:rFonts w:ascii="Times New Roman" w:hAnsi="Times New Roman"/>
          <w:bCs/>
          <w:sz w:val="28"/>
          <w:szCs w:val="28"/>
        </w:rPr>
        <w:t xml:space="preserve">[60]. </w:t>
      </w:r>
      <w:proofErr w:type="gramStart"/>
      <w:r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атериалы ФГОС НОО для обучающихся с ОВЗ, проекты АООП для всех категорий школьников с ОВЗ могут быть использованы разработчиками для формулирования специальных целей и задач АОП, конкретизации принципов и подходов к ее реализации, планируемых результатов (целевой раздел), а также системы специальных условий освоения АОП обучающимися с конкретными видами нарушений здоровья (организационный раздел) [44].</w:t>
      </w:r>
      <w:proofErr w:type="gramEnd"/>
    </w:p>
    <w:p w:rsidR="001069E5" w:rsidRDefault="001069E5" w:rsidP="001069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научно-исследовательскими коллективами, а также отдельными авторами подготовлены проекты </w:t>
      </w:r>
      <w:proofErr w:type="gramStart"/>
      <w:r>
        <w:rPr>
          <w:rFonts w:ascii="Times New Roman" w:hAnsi="Times New Roman"/>
          <w:sz w:val="28"/>
          <w:szCs w:val="28"/>
        </w:rPr>
        <w:t>примерных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АООП для дошкольной ступени образования.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Пока лишь некоторые из проектов </w:t>
      </w:r>
      <w:proofErr w:type="spellStart"/>
      <w:r>
        <w:rPr>
          <w:rFonts w:ascii="Times New Roman" w:hAnsi="Times New Roman"/>
          <w:sz w:val="28"/>
          <w:szCs w:val="28"/>
        </w:rPr>
        <w:t>ПрАООП</w:t>
      </w:r>
      <w:proofErr w:type="spellEnd"/>
      <w:r>
        <w:rPr>
          <w:rFonts w:ascii="Times New Roman" w:hAnsi="Times New Roman"/>
          <w:sz w:val="28"/>
          <w:szCs w:val="28"/>
        </w:rPr>
        <w:t xml:space="preserve"> ДО включены в </w:t>
      </w:r>
      <w:r>
        <w:rPr>
          <w:rFonts w:ascii="Times New Roman" w:hAnsi="Times New Roman"/>
          <w:bCs/>
          <w:sz w:val="28"/>
          <w:szCs w:val="28"/>
        </w:rPr>
        <w:t xml:space="preserve">Навигатор образовательных программ дошкольного образования ФИРО (Примерные АООП для детей с ТНР (программа Н.В. </w:t>
      </w:r>
      <w:proofErr w:type="spellStart"/>
      <w:r>
        <w:rPr>
          <w:rFonts w:ascii="Times New Roman" w:hAnsi="Times New Roman"/>
          <w:bCs/>
          <w:sz w:val="28"/>
          <w:szCs w:val="28"/>
        </w:rPr>
        <w:t>Нищевой</w:t>
      </w:r>
      <w:proofErr w:type="spellEnd"/>
      <w:r>
        <w:rPr>
          <w:rFonts w:ascii="Times New Roman" w:hAnsi="Times New Roman"/>
          <w:bCs/>
          <w:sz w:val="28"/>
          <w:szCs w:val="28"/>
        </w:rPr>
        <w:t>; программа под ред. Л.В. Лопатиной) [26].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Представляют интерес разработки </w:t>
      </w:r>
      <w:proofErr w:type="spellStart"/>
      <w:r>
        <w:rPr>
          <w:rFonts w:ascii="Times New Roman" w:hAnsi="Times New Roman"/>
          <w:bCs/>
          <w:sz w:val="28"/>
          <w:szCs w:val="28"/>
        </w:rPr>
        <w:t>ПрАООП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центром «</w:t>
      </w:r>
      <w:proofErr w:type="spellStart"/>
      <w:r>
        <w:rPr>
          <w:rFonts w:ascii="Times New Roman" w:hAnsi="Times New Roman"/>
          <w:bCs/>
          <w:sz w:val="28"/>
          <w:szCs w:val="28"/>
        </w:rPr>
        <w:t>Суваг</w:t>
      </w:r>
      <w:proofErr w:type="spellEnd"/>
      <w:r>
        <w:rPr>
          <w:rFonts w:ascii="Times New Roman" w:hAnsi="Times New Roman"/>
          <w:bCs/>
          <w:sz w:val="28"/>
          <w:szCs w:val="28"/>
        </w:rPr>
        <w:t>» для детей раннего и дошкольного возраста с ОВЗ всех категорий</w:t>
      </w:r>
      <w:r>
        <w:rPr>
          <w:rFonts w:ascii="Times New Roman" w:hAnsi="Times New Roman"/>
          <w:color w:val="000000"/>
          <w:sz w:val="28"/>
          <w:szCs w:val="28"/>
        </w:rPr>
        <w:t xml:space="preserve"> [39]. </w:t>
      </w:r>
    </w:p>
    <w:p w:rsidR="001069E5" w:rsidRDefault="001069E5" w:rsidP="001069E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>Примерных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АООП является проектирование модели образовательной и коррекционно-развивающей психолого-педагогической работы, максимально обеспечивающей создание условий для развития детей с ОВЗ дошкольного возраста в группах компенсирующей и </w:t>
      </w:r>
      <w:r>
        <w:rPr>
          <w:rFonts w:ascii="Times New Roman" w:hAnsi="Times New Roman"/>
          <w:sz w:val="28"/>
          <w:szCs w:val="28"/>
        </w:rPr>
        <w:lastRenderedPageBreak/>
        <w:t xml:space="preserve">комбинированной направленности, их позитивной социализации, интеллектуального, социально-личностного, художественно-эстетического и физического развития на основе сотрудничества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взрослыми и сверстниками в соответствующих возрасту видах деятельности.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качестве ориентиров для составления АОП для конкретной категории детей, можно использовать комплексные программы специальных (коррекционных) образовательных учреждений с 1 по 8 вид, например, программу для специального детского сада 4 вида под ред. Л.И. Плаксиной [45],</w:t>
      </w:r>
      <w:r>
        <w:rPr>
          <w:sz w:val="28"/>
          <w:szCs w:val="28"/>
        </w:rPr>
        <w:t xml:space="preserve">программу дошкольных образовательных учреждений компенсирующего вида для детей с нарушением интеллекта Е.А. </w:t>
      </w:r>
      <w:proofErr w:type="spellStart"/>
      <w:r>
        <w:rPr>
          <w:sz w:val="28"/>
          <w:szCs w:val="28"/>
        </w:rPr>
        <w:t>Екжановой</w:t>
      </w:r>
      <w:proofErr w:type="spellEnd"/>
      <w:r>
        <w:rPr>
          <w:sz w:val="28"/>
          <w:szCs w:val="28"/>
        </w:rPr>
        <w:t xml:space="preserve">, Е.А. </w:t>
      </w:r>
      <w:proofErr w:type="spellStart"/>
      <w:r>
        <w:rPr>
          <w:sz w:val="28"/>
          <w:szCs w:val="28"/>
        </w:rPr>
        <w:t>Стребелевой</w:t>
      </w:r>
      <w:proofErr w:type="spellEnd"/>
      <w:r>
        <w:rPr>
          <w:sz w:val="28"/>
          <w:szCs w:val="28"/>
        </w:rPr>
        <w:t xml:space="preserve"> [15] и пр. </w:t>
      </w:r>
      <w:proofErr w:type="gramEnd"/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педагоги при составлении адаптированных программ могут пользоваться любой специальной программой, скорректировав её, взяв то, что соответствует новому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. По сути, разработчики адаптированной программы создают собственную программу, опираясь на уже существующие программы. Корректировки программ зависят от контингента детей, от существующих условий на местах.</w:t>
      </w:r>
    </w:p>
    <w:p w:rsidR="001069E5" w:rsidRDefault="001069E5" w:rsidP="001069E5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 вопросы и задания</w:t>
      </w:r>
    </w:p>
    <w:p w:rsidR="001069E5" w:rsidRDefault="001069E5" w:rsidP="001069E5">
      <w:pPr>
        <w:shd w:val="clear" w:color="auto" w:fill="FEFEFE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1.Какой цели служат Примерные АООП для разных категорий воспитанников с ОВЗ?</w:t>
      </w:r>
      <w:proofErr w:type="gramEnd"/>
    </w:p>
    <w:p w:rsidR="001069E5" w:rsidRDefault="001069E5" w:rsidP="001069E5">
      <w:pPr>
        <w:shd w:val="clear" w:color="auto" w:fill="FEFEFE"/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2.Пользуясь различными источниками информации, составьте каталог </w:t>
      </w:r>
      <w:proofErr w:type="gramStart"/>
      <w:r>
        <w:rPr>
          <w:rFonts w:ascii="Times New Roman" w:hAnsi="Times New Roman"/>
          <w:bCs/>
          <w:sz w:val="28"/>
          <w:szCs w:val="28"/>
        </w:rPr>
        <w:t>Примерных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АООП дошкольного образования.</w:t>
      </w:r>
    </w:p>
    <w:p w:rsidR="001069E5" w:rsidRDefault="001069E5" w:rsidP="001069E5">
      <w:pPr>
        <w:autoSpaceDE w:val="0"/>
        <w:autoSpaceDN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Группы компенсирующей и комбинированной направленности</w:t>
      </w:r>
    </w:p>
    <w:p w:rsidR="001069E5" w:rsidRDefault="001069E5" w:rsidP="001069E5">
      <w:pPr>
        <w:pStyle w:val="Default"/>
        <w:spacing w:line="360" w:lineRule="auto"/>
        <w:rPr>
          <w:sz w:val="28"/>
          <w:szCs w:val="28"/>
        </w:rPr>
      </w:pP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Согласно «Закону об образовании в РФ» (ст.79. п. 4), дети с ОВЗ имеют право получать образование как в отдельных организациях (ДОО компенсирующего вида для разных категорий воспитанников), в отдельных группах (группах компенсирующего вида), а также совместно с другими обучающимися (группах </w:t>
      </w:r>
      <w:proofErr w:type="spellStart"/>
      <w:r>
        <w:rPr>
          <w:sz w:val="28"/>
          <w:szCs w:val="28"/>
        </w:rPr>
        <w:t>общеразвивающих</w:t>
      </w:r>
      <w:proofErr w:type="spellEnd"/>
      <w:r>
        <w:rPr>
          <w:sz w:val="28"/>
          <w:szCs w:val="28"/>
        </w:rPr>
        <w:t xml:space="preserve">, комбинированного вида).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ДОО компенсирующего вида очень мало. Это объясняется тем, что такие детские сады могут быть организованы только в крупных городах, где может оказаться достаточное количество детей дошкольного возраста, имеющих сходный тип нарушений в развитии. Чаще всего в ДОО организуются группы компенсирующей направленности, такие ДОО получили название «ДОО комбинированного вида», где вместе с группами компенсирующего вида функционируют группы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направленности. 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группе </w:t>
      </w:r>
      <w:r>
        <w:rPr>
          <w:i/>
          <w:sz w:val="28"/>
          <w:szCs w:val="28"/>
        </w:rPr>
        <w:t>компенсирующей направленности</w:t>
      </w:r>
      <w:r>
        <w:rPr>
          <w:sz w:val="28"/>
          <w:szCs w:val="28"/>
        </w:rPr>
        <w:t xml:space="preserve"> обучают детей с ОВЗ одной категории. Такие группы характеризует то, что у детей имеются схожие особенности психофизического развития, при разных индивидуальных возможностях освоения программы обучения.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Количество детей в группах компенсирующей направленности рекомендовано в пункте 1.11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2.4.1.3049-13, утвержденных постановлением Главного санитарного врача России от 15 мая 2013 г. № 26 (см. табл. 2) [32]: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</w:rPr>
      </w:pPr>
      <w:r>
        <w:rPr>
          <w:i/>
        </w:rPr>
        <w:t>Таблица 2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hd w:val="clear" w:color="auto" w:fill="FFFFFF"/>
        </w:rPr>
      </w:pPr>
      <w:r>
        <w:rPr>
          <w:b/>
          <w:shd w:val="clear" w:color="auto" w:fill="FFFFFF"/>
        </w:rPr>
        <w:t>Рекомендуемое количество детей в группах компенсирующей направленности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sz w:val="20"/>
          <w:szCs w:val="20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5211"/>
        <w:gridCol w:w="1985"/>
        <w:gridCol w:w="1552"/>
      </w:tblGrid>
      <w:tr w:rsidR="001069E5" w:rsidTr="001069E5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Вид ОВЗ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Количество детей в группах</w:t>
            </w:r>
          </w:p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компенсирующей направленности</w:t>
            </w:r>
          </w:p>
        </w:tc>
      </w:tr>
      <w:tr w:rsidR="001069E5" w:rsidTr="001069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E5" w:rsidRDefault="001069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До 3-х лет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Старше 3-х лет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Дети с тяжелыми нарушениями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Дети с фонетико-фонематическим недоразвитием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Глухие 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Слабослышащие 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Слепые дети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Слабовидящие дети, дети с </w:t>
            </w:r>
            <w:proofErr w:type="spellStart"/>
            <w:r>
              <w:rPr>
                <w:lang w:eastAsia="en-US"/>
              </w:rPr>
              <w:t>амблиопией</w:t>
            </w:r>
            <w:proofErr w:type="spellEnd"/>
            <w:r>
              <w:rPr>
                <w:lang w:eastAsia="en-US"/>
              </w:rPr>
              <w:t>, косоглазием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Дети с нарушениями опорно-двигательного аппарата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Дети с задержкой психического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Дети с умственной отсталостью легкой степени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Дети с умственной отсталостью умеренной, тяжелой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Дети с расстройствами </w:t>
            </w:r>
            <w:proofErr w:type="spellStart"/>
            <w:r>
              <w:rPr>
                <w:lang w:eastAsia="en-US"/>
              </w:rPr>
              <w:t>аутистического</w:t>
            </w:r>
            <w:proofErr w:type="spellEnd"/>
            <w:r>
              <w:rPr>
                <w:lang w:eastAsia="en-US"/>
              </w:rPr>
              <w:t xml:space="preserve"> спектра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Дети со сложным дефектом (имеющие </w:t>
            </w:r>
            <w:r>
              <w:rPr>
                <w:lang w:eastAsia="en-US"/>
              </w:rPr>
              <w:lastRenderedPageBreak/>
              <w:t>сочетание разных нарушений развития)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1069E5" w:rsidTr="001069E5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Дети с иными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</w:tbl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группах </w:t>
      </w:r>
      <w:r>
        <w:rPr>
          <w:i/>
          <w:sz w:val="28"/>
          <w:szCs w:val="28"/>
        </w:rPr>
        <w:t>комбинированной направленности</w:t>
      </w:r>
      <w:r>
        <w:rPr>
          <w:sz w:val="28"/>
          <w:szCs w:val="28"/>
        </w:rPr>
        <w:t xml:space="preserve"> реализуют инклюзивное образование – совместное обучение детей с ОВЗ и здоровых детей (п.13 Порядка, утвержденного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 августа 2013 г. № 1014). Количество детей </w:t>
      </w:r>
      <w:r>
        <w:rPr>
          <w:bCs/>
          <w:sz w:val="28"/>
          <w:szCs w:val="28"/>
        </w:rPr>
        <w:t xml:space="preserve">в группах комбинированной направленности регламентировано </w:t>
      </w:r>
      <w:r>
        <w:rPr>
          <w:sz w:val="28"/>
          <w:szCs w:val="28"/>
        </w:rPr>
        <w:t xml:space="preserve">п. 1.12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2.4.1.3049-13от 15 мая 2013 г. (см. табл. 3) [32].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</w:rPr>
      </w:pP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</w:rPr>
      </w:pP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i/>
        </w:rPr>
      </w:pPr>
      <w:r>
        <w:rPr>
          <w:i/>
        </w:rPr>
        <w:t>Таблица3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>
        <w:rPr>
          <w:b/>
          <w:shd w:val="clear" w:color="auto" w:fill="FFFFFF"/>
        </w:rPr>
        <w:t>Рекомендуемое количество детей в группах комбинированной направленности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0"/>
          <w:szCs w:val="20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1526"/>
        <w:gridCol w:w="1559"/>
        <w:gridCol w:w="5663"/>
      </w:tblGrid>
      <w:tr w:rsidR="001069E5" w:rsidTr="001069E5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Общее количество детей в группах комбинированной направленности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9E5" w:rsidRDefault="001069E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детей с ОВЗ в группе</w:t>
            </w:r>
          </w:p>
        </w:tc>
      </w:tr>
      <w:tr w:rsidR="001069E5" w:rsidTr="001069E5">
        <w:trPr>
          <w:trHeight w:val="6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 3-х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Старше 3-х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9E5" w:rsidRDefault="001069E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069E5" w:rsidTr="001069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3 детей с ОВЗ</w:t>
            </w:r>
          </w:p>
        </w:tc>
      </w:tr>
      <w:tr w:rsidR="001069E5" w:rsidTr="001069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более 3 глухих детей, или слепых детей, или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снарушениями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опорно-двигательного аппарата, или детей с умственной отсталостью умеренной, тяжелой, или детей со сложным дефектом</w:t>
            </w:r>
          </w:p>
        </w:tc>
      </w:tr>
      <w:tr w:rsidR="001069E5" w:rsidTr="001069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более 4 слабовидящих и (или) детей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амблиопией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</w:t>
            </w:r>
          </w:p>
        </w:tc>
      </w:tr>
      <w:tr w:rsidR="001069E5" w:rsidTr="001069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9E5" w:rsidRDefault="001069E5">
            <w:pPr>
              <w:autoSpaceDE w:val="0"/>
              <w:autoSpaceDN w:val="0"/>
              <w:adjustRightInd w:val="0"/>
              <w:spacing w:after="2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 более 5 детей с задержкой психического развития</w:t>
            </w:r>
          </w:p>
        </w:tc>
      </w:tr>
    </w:tbl>
    <w:p w:rsidR="001069E5" w:rsidRDefault="001069E5" w:rsidP="001069E5">
      <w:pPr>
        <w:pStyle w:val="Default"/>
        <w:rPr>
          <w:sz w:val="20"/>
          <w:szCs w:val="20"/>
        </w:rPr>
      </w:pP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группы компенсирующей или комбинированной направленности ребенок с ОВЗ может быть направлен только ПМПК, которая дает заключение о состоянии психофизического развития ребенка, рекомендации о форме обучения, о необходимых специальных условиях обучения. Кроме того, необходимо письменное согласие родителей.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При организации образовательной деятельности по АООП ДО в </w:t>
      </w:r>
      <w:r>
        <w:rPr>
          <w:bCs/>
          <w:i/>
          <w:color w:val="auto"/>
          <w:sz w:val="28"/>
          <w:szCs w:val="28"/>
        </w:rPr>
        <w:t>группах компенсирующей направленности</w:t>
      </w:r>
      <w:r>
        <w:rPr>
          <w:bCs/>
          <w:color w:val="auto"/>
          <w:sz w:val="28"/>
          <w:szCs w:val="28"/>
        </w:rPr>
        <w:t xml:space="preserve"> в штатное расписание вводятся </w:t>
      </w:r>
      <w:r>
        <w:rPr>
          <w:bCs/>
          <w:color w:val="auto"/>
          <w:sz w:val="28"/>
          <w:szCs w:val="28"/>
        </w:rPr>
        <w:lastRenderedPageBreak/>
        <w:t>штатные единицы специалистов (учитель-дефектолог (</w:t>
      </w:r>
      <w:proofErr w:type="spellStart"/>
      <w:r>
        <w:rPr>
          <w:bCs/>
          <w:color w:val="auto"/>
          <w:sz w:val="28"/>
          <w:szCs w:val="28"/>
        </w:rPr>
        <w:t>олигофренопедагог</w:t>
      </w:r>
      <w:proofErr w:type="spellEnd"/>
      <w:r>
        <w:rPr>
          <w:bCs/>
          <w:color w:val="auto"/>
          <w:sz w:val="28"/>
          <w:szCs w:val="28"/>
        </w:rPr>
        <w:t xml:space="preserve">, сурдопедагог, тифлопедагог), учитель-логопед, специальный психолог (педагог-психолог), </w:t>
      </w:r>
      <w:proofErr w:type="spellStart"/>
      <w:r>
        <w:rPr>
          <w:bCs/>
          <w:color w:val="auto"/>
          <w:sz w:val="28"/>
          <w:szCs w:val="28"/>
        </w:rPr>
        <w:t>тьютор</w:t>
      </w:r>
      <w:proofErr w:type="spellEnd"/>
      <w:r>
        <w:rPr>
          <w:bCs/>
          <w:color w:val="auto"/>
          <w:sz w:val="28"/>
          <w:szCs w:val="28"/>
        </w:rPr>
        <w:t xml:space="preserve"> (при необходимости) на каждую группу: </w:t>
      </w:r>
      <w:proofErr w:type="gramEnd"/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нарушениями слуха – не менее одной штатной единицы сурдопедагога,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нарушениями зрения – не менее одной штатной единицы тифлопедагога,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нарушениями речи – не менее одной штатной единицы учителя-логопеда,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расстройствами </w:t>
      </w:r>
      <w:proofErr w:type="spellStart"/>
      <w:r>
        <w:rPr>
          <w:bCs/>
          <w:color w:val="auto"/>
          <w:sz w:val="28"/>
          <w:szCs w:val="28"/>
        </w:rPr>
        <w:t>аутистического</w:t>
      </w:r>
      <w:proofErr w:type="spellEnd"/>
      <w:r>
        <w:rPr>
          <w:bCs/>
          <w:color w:val="auto"/>
          <w:sz w:val="28"/>
          <w:szCs w:val="28"/>
        </w:rPr>
        <w:t xml:space="preserve"> спектра – не менее одной штатной единицы </w:t>
      </w:r>
      <w:proofErr w:type="spellStart"/>
      <w:r>
        <w:rPr>
          <w:bCs/>
          <w:color w:val="auto"/>
          <w:sz w:val="28"/>
          <w:szCs w:val="28"/>
        </w:rPr>
        <w:t>олигофренопедагога</w:t>
      </w:r>
      <w:proofErr w:type="spellEnd"/>
      <w:r>
        <w:rPr>
          <w:bCs/>
          <w:color w:val="auto"/>
          <w:sz w:val="28"/>
          <w:szCs w:val="28"/>
        </w:rPr>
        <w:t xml:space="preserve">, не менее 0,5 штатной единицы учителя-логопеда, и не менее 0,5 штатной единицы специального психолога или (педагога-психолога),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задержкой психического развития – не менее одной штатной единицы </w:t>
      </w:r>
      <w:proofErr w:type="spellStart"/>
      <w:r>
        <w:rPr>
          <w:bCs/>
          <w:color w:val="auto"/>
          <w:sz w:val="28"/>
          <w:szCs w:val="28"/>
        </w:rPr>
        <w:t>олигофренопедагога</w:t>
      </w:r>
      <w:proofErr w:type="spellEnd"/>
      <w:r>
        <w:rPr>
          <w:bCs/>
          <w:color w:val="auto"/>
          <w:sz w:val="28"/>
          <w:szCs w:val="28"/>
        </w:rPr>
        <w:t xml:space="preserve">,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 нарушениями интеллекта – не менее одной штатной единицы </w:t>
      </w:r>
      <w:proofErr w:type="spellStart"/>
      <w:r>
        <w:rPr>
          <w:bCs/>
          <w:color w:val="auto"/>
          <w:sz w:val="28"/>
          <w:szCs w:val="28"/>
        </w:rPr>
        <w:t>олигофренопедагога</w:t>
      </w:r>
      <w:proofErr w:type="spellEnd"/>
      <w:r>
        <w:rPr>
          <w:bCs/>
          <w:color w:val="auto"/>
          <w:sz w:val="28"/>
          <w:szCs w:val="28"/>
        </w:rPr>
        <w:t xml:space="preserve"> и не менее 0,5 штатной единицы учителя-логопеда.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детей со сложным дефектом, в том числе детей с нарушениями опорно-двигательного аппарата (ДЦП) (имеющих сочетание 2 или более недостатков в физическом и (или) психическом развитии) – не менее одной штатной единицы </w:t>
      </w:r>
      <w:proofErr w:type="spellStart"/>
      <w:r>
        <w:rPr>
          <w:bCs/>
          <w:color w:val="auto"/>
          <w:sz w:val="28"/>
          <w:szCs w:val="28"/>
        </w:rPr>
        <w:t>олигофренопедагога</w:t>
      </w:r>
      <w:proofErr w:type="spellEnd"/>
      <w:r>
        <w:rPr>
          <w:bCs/>
          <w:color w:val="auto"/>
          <w:sz w:val="28"/>
          <w:szCs w:val="28"/>
        </w:rPr>
        <w:t xml:space="preserve">, не менее 0,5 штатной единицы учителя-логопеда, и не менее 0,5 штатной единицы специального психолога или педагога-психолога;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одна штатная единица специального психолога (педагога-психолога) из расчета на каждые 25 детей с ОВЗ в организации;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bCs/>
          <w:color w:val="auto"/>
          <w:sz w:val="28"/>
          <w:szCs w:val="28"/>
        </w:rPr>
        <w:t xml:space="preserve">одна штатная единица </w:t>
      </w:r>
      <w:proofErr w:type="spellStart"/>
      <w:r>
        <w:rPr>
          <w:bCs/>
          <w:color w:val="auto"/>
          <w:sz w:val="28"/>
          <w:szCs w:val="28"/>
        </w:rPr>
        <w:t>тьютора</w:t>
      </w:r>
      <w:proofErr w:type="spellEnd"/>
      <w:r>
        <w:rPr>
          <w:bCs/>
          <w:color w:val="auto"/>
          <w:sz w:val="28"/>
          <w:szCs w:val="28"/>
        </w:rPr>
        <w:t xml:space="preserve"> из расчета на 5 детей с расстройствами </w:t>
      </w:r>
      <w:proofErr w:type="spellStart"/>
      <w:r>
        <w:rPr>
          <w:bCs/>
          <w:color w:val="auto"/>
          <w:sz w:val="28"/>
          <w:szCs w:val="28"/>
        </w:rPr>
        <w:t>аутистического</w:t>
      </w:r>
      <w:proofErr w:type="spellEnd"/>
      <w:r>
        <w:rPr>
          <w:bCs/>
          <w:color w:val="auto"/>
          <w:sz w:val="28"/>
          <w:szCs w:val="28"/>
        </w:rPr>
        <w:t xml:space="preserve"> спектра и/или со сложным дефектом (с тяжёлыми и множественными нарушениями), и/или с умственной отсталостью умеренной, средней, тяжелой степени;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</w:t>
      </w:r>
      <w:r>
        <w:rPr>
          <w:bCs/>
          <w:color w:val="auto"/>
          <w:sz w:val="28"/>
          <w:szCs w:val="28"/>
        </w:rPr>
        <w:t xml:space="preserve">штатные единицы </w:t>
      </w:r>
      <w:proofErr w:type="spellStart"/>
      <w:r>
        <w:rPr>
          <w:bCs/>
          <w:color w:val="auto"/>
          <w:sz w:val="28"/>
          <w:szCs w:val="28"/>
        </w:rPr>
        <w:t>тьюторов</w:t>
      </w:r>
      <w:proofErr w:type="spellEnd"/>
      <w:r>
        <w:rPr>
          <w:bCs/>
          <w:color w:val="auto"/>
          <w:sz w:val="28"/>
          <w:szCs w:val="28"/>
        </w:rPr>
        <w:t xml:space="preserve"> в соответствии с заключениями </w:t>
      </w:r>
      <w:proofErr w:type="spellStart"/>
      <w:r>
        <w:rPr>
          <w:bCs/>
          <w:color w:val="auto"/>
          <w:sz w:val="28"/>
          <w:szCs w:val="28"/>
        </w:rPr>
        <w:t>психолого-медико-педагогической</w:t>
      </w:r>
      <w:proofErr w:type="spellEnd"/>
      <w:r>
        <w:rPr>
          <w:bCs/>
          <w:color w:val="auto"/>
          <w:sz w:val="28"/>
          <w:szCs w:val="28"/>
        </w:rPr>
        <w:t xml:space="preserve"> комиссии и/или потребностями образовательной организации. </w:t>
      </w:r>
    </w:p>
    <w:p w:rsidR="001069E5" w:rsidRDefault="001069E5" w:rsidP="001069E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При организации образовательной деятельности в группах </w:t>
      </w:r>
      <w:r>
        <w:rPr>
          <w:bCs/>
          <w:i/>
          <w:color w:val="auto"/>
          <w:sz w:val="28"/>
          <w:szCs w:val="28"/>
        </w:rPr>
        <w:t>комбинированной направленности</w:t>
      </w:r>
      <w:r>
        <w:rPr>
          <w:bCs/>
          <w:color w:val="auto"/>
          <w:sz w:val="28"/>
          <w:szCs w:val="28"/>
        </w:rPr>
        <w:t xml:space="preserve"> в штатное расписание вводятся штатные единицы специалистов (учитель-дефектолог, учитель-логопед, специальный психолог и/или педагог-психолог) из расчета нагрузки специалиста на одного ребенка с ОВЗ, а также одна штатная единица </w:t>
      </w:r>
      <w:proofErr w:type="spellStart"/>
      <w:r>
        <w:rPr>
          <w:bCs/>
          <w:color w:val="auto"/>
          <w:sz w:val="28"/>
          <w:szCs w:val="28"/>
        </w:rPr>
        <w:t>тьютора</w:t>
      </w:r>
      <w:proofErr w:type="spellEnd"/>
      <w:r>
        <w:rPr>
          <w:bCs/>
          <w:color w:val="auto"/>
          <w:sz w:val="28"/>
          <w:szCs w:val="28"/>
        </w:rPr>
        <w:t>[8].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группах </w:t>
      </w:r>
      <w:r>
        <w:rPr>
          <w:i/>
          <w:iCs/>
          <w:sz w:val="28"/>
          <w:szCs w:val="28"/>
        </w:rPr>
        <w:t>компенсирующей н</w:t>
      </w:r>
      <w:r>
        <w:rPr>
          <w:sz w:val="28"/>
          <w:szCs w:val="28"/>
        </w:rPr>
        <w:t xml:space="preserve">аправленности для детей с ОВЗ осуществляется реализация </w:t>
      </w:r>
      <w:r>
        <w:rPr>
          <w:iCs/>
          <w:sz w:val="28"/>
          <w:szCs w:val="28"/>
        </w:rPr>
        <w:t xml:space="preserve">адаптированной основной образовательной программы дошкольного образования (АООП </w:t>
      </w:r>
      <w:proofErr w:type="gramStart"/>
      <w:r>
        <w:rPr>
          <w:iCs/>
          <w:sz w:val="28"/>
          <w:szCs w:val="28"/>
        </w:rPr>
        <w:t>ДО</w:t>
      </w:r>
      <w:proofErr w:type="gramEnd"/>
      <w:r>
        <w:rPr>
          <w:iCs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группах </w:t>
      </w:r>
      <w:r>
        <w:rPr>
          <w:i/>
          <w:iCs/>
          <w:sz w:val="28"/>
          <w:szCs w:val="28"/>
        </w:rPr>
        <w:t xml:space="preserve">комбинированной </w:t>
      </w:r>
      <w:r>
        <w:rPr>
          <w:sz w:val="28"/>
          <w:szCs w:val="28"/>
        </w:rPr>
        <w:t xml:space="preserve">направленности реализуются две программы. </w:t>
      </w:r>
      <w:proofErr w:type="gramStart"/>
      <w:r>
        <w:rPr>
          <w:sz w:val="28"/>
          <w:szCs w:val="28"/>
        </w:rPr>
        <w:t>Для ребенка с ОВЗ на базе основной образовательной программы дошкольного образования (ООП ДО) и Примерной АООП (для соответствующего вида нарушения) разрабатывается адаптированная образовательная программа (АОП), обеспечивающая коррекцию нарушений развития и его социальную адаптацию.</w:t>
      </w:r>
      <w:proofErr w:type="gramEnd"/>
      <w:r>
        <w:rPr>
          <w:sz w:val="28"/>
          <w:szCs w:val="28"/>
        </w:rPr>
        <w:t xml:space="preserve"> Остальные дети группы комбинированной направленности обучаются по основной образовательной программе дошкольного образования (ООП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>).</w:t>
      </w:r>
    </w:p>
    <w:p w:rsidR="001069E5" w:rsidRDefault="001069E5" w:rsidP="001069E5">
      <w:pPr>
        <w:shd w:val="clear" w:color="auto" w:fill="FEFEFE"/>
        <w:spacing w:after="0" w:line="36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1069E5" w:rsidRDefault="001069E5" w:rsidP="001069E5">
      <w:pPr>
        <w:shd w:val="clear" w:color="auto" w:fill="FEFEFE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Контрольные вопросы и задания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1.Какие группы функционируют в дошкольной образовательной организации комбинированного вида?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2.Что такое «группа компенсирующей направленности», «группа комбинированной направленности»? 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3.Чем обусловлен ввод в штатное расписание групп компенсирующей направленности ставок дефектолога, логопеда, психолога? В каких случаях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штат вводится должность </w:t>
      </w:r>
      <w:proofErr w:type="spellStart"/>
      <w:r>
        <w:rPr>
          <w:sz w:val="28"/>
          <w:szCs w:val="28"/>
        </w:rPr>
        <w:t>тьютора</w:t>
      </w:r>
      <w:proofErr w:type="spellEnd"/>
      <w:r>
        <w:rPr>
          <w:sz w:val="28"/>
          <w:szCs w:val="28"/>
        </w:rPr>
        <w:t>?</w:t>
      </w:r>
    </w:p>
    <w:p w:rsidR="001069E5" w:rsidRDefault="001069E5" w:rsidP="001069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404224" w:rsidRDefault="00404224"/>
    <w:sectPr w:rsidR="00404224" w:rsidSect="00404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9E5"/>
    <w:rsid w:val="001069E5"/>
    <w:rsid w:val="00404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9E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106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link w:val="a3"/>
    <w:uiPriority w:val="99"/>
    <w:unhideWhenUsed/>
    <w:rsid w:val="001069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10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0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2020-10-28T09:21:00Z</dcterms:created>
  <dcterms:modified xsi:type="dcterms:W3CDTF">2020-10-28T09:22:00Z</dcterms:modified>
</cp:coreProperties>
</file>