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5418B" w14:textId="55EA4C19" w:rsidR="009677F3" w:rsidRDefault="009677F3" w:rsidP="009677F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Организация внеурочной деятельности в начальной школе</w:t>
      </w:r>
    </w:p>
    <w:p w14:paraId="43C31B49" w14:textId="365805D0" w:rsidR="009677F3" w:rsidRDefault="009677F3" w:rsidP="009677F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НО-19</w:t>
      </w:r>
    </w:p>
    <w:p w14:paraId="69E3D56D" w14:textId="00267B02" w:rsidR="009677F3" w:rsidRDefault="009677F3" w:rsidP="009677F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Лекция</w:t>
      </w:r>
    </w:p>
    <w:p w14:paraId="0952D7D5" w14:textId="77777777" w:rsidR="009677F3" w:rsidRDefault="009677F3" w:rsidP="009677F3">
      <w:pPr>
        <w:spacing w:after="0" w:line="240" w:lineRule="auto"/>
        <w:jc w:val="center"/>
        <w:rPr>
          <w:rFonts w:ascii="Times New Roman" w:hAnsi="Times New Roman" w:cs="Times New Roman"/>
          <w:b/>
          <w:bCs/>
          <w:sz w:val="28"/>
          <w:szCs w:val="28"/>
        </w:rPr>
      </w:pPr>
    </w:p>
    <w:p w14:paraId="0B8DA471" w14:textId="15504711" w:rsidR="009677F3" w:rsidRDefault="005B1E9F" w:rsidP="009677F3">
      <w:pPr>
        <w:spacing w:after="0" w:line="240" w:lineRule="auto"/>
        <w:jc w:val="center"/>
        <w:rPr>
          <w:rFonts w:ascii="Times New Roman" w:hAnsi="Times New Roman" w:cs="Times New Roman"/>
          <w:b/>
          <w:bCs/>
          <w:sz w:val="28"/>
          <w:szCs w:val="28"/>
        </w:rPr>
      </w:pPr>
      <w:r w:rsidRPr="009677F3">
        <w:rPr>
          <w:rFonts w:ascii="Times New Roman" w:hAnsi="Times New Roman" w:cs="Times New Roman"/>
          <w:b/>
          <w:bCs/>
          <w:sz w:val="28"/>
          <w:szCs w:val="28"/>
        </w:rPr>
        <w:t xml:space="preserve">Внеклассная </w:t>
      </w:r>
      <w:r w:rsidR="009677F3">
        <w:rPr>
          <w:rFonts w:ascii="Times New Roman" w:hAnsi="Times New Roman" w:cs="Times New Roman"/>
          <w:b/>
          <w:bCs/>
          <w:sz w:val="28"/>
          <w:szCs w:val="28"/>
        </w:rPr>
        <w:t xml:space="preserve">и внеурочная </w:t>
      </w:r>
      <w:r w:rsidR="009677F3" w:rsidRPr="009677F3">
        <w:rPr>
          <w:rFonts w:ascii="Times New Roman" w:hAnsi="Times New Roman" w:cs="Times New Roman"/>
          <w:b/>
          <w:bCs/>
          <w:sz w:val="28"/>
          <w:szCs w:val="28"/>
        </w:rPr>
        <w:t>работа</w:t>
      </w:r>
      <w:r w:rsidR="009677F3" w:rsidRPr="009677F3">
        <w:rPr>
          <w:rFonts w:ascii="Times New Roman" w:hAnsi="Times New Roman" w:cs="Times New Roman"/>
          <w:b/>
          <w:bCs/>
          <w:sz w:val="28"/>
          <w:szCs w:val="28"/>
        </w:rPr>
        <w:t xml:space="preserve"> по изобразительному искусству</w:t>
      </w:r>
    </w:p>
    <w:p w14:paraId="505DC4E6" w14:textId="77777777" w:rsidR="009677F3" w:rsidRPr="009677F3" w:rsidRDefault="009677F3" w:rsidP="009677F3">
      <w:pPr>
        <w:spacing w:after="0" w:line="240" w:lineRule="auto"/>
        <w:jc w:val="center"/>
        <w:rPr>
          <w:rFonts w:ascii="Times New Roman" w:hAnsi="Times New Roman" w:cs="Times New Roman"/>
          <w:b/>
          <w:bCs/>
          <w:sz w:val="28"/>
          <w:szCs w:val="28"/>
        </w:rPr>
      </w:pPr>
    </w:p>
    <w:p w14:paraId="3BEDF286" w14:textId="642D3015"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В</w:t>
      </w:r>
      <w:r w:rsidR="009677F3">
        <w:rPr>
          <w:rFonts w:ascii="Times New Roman" w:hAnsi="Times New Roman" w:cs="Times New Roman"/>
          <w:sz w:val="28"/>
          <w:szCs w:val="28"/>
        </w:rPr>
        <w:t>н</w:t>
      </w:r>
      <w:r w:rsidRPr="00FE7ACA">
        <w:rPr>
          <w:rFonts w:ascii="Times New Roman" w:hAnsi="Times New Roman" w:cs="Times New Roman"/>
          <w:sz w:val="28"/>
          <w:szCs w:val="28"/>
        </w:rPr>
        <w:t xml:space="preserve">еклассные занятия, их виды </w:t>
      </w:r>
    </w:p>
    <w:p w14:paraId="20D13906"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Вспомогательные формы организации обучения. К ним относятся те из них, которые направлены на удовлетворение многосторонних интересов и потребностей детей в соответствии с их склонностями. Это, прежде всего, факультативы и разнообразные формы кружковой и клубной работы. Факультатив работает по определенной программе, которая не дублирует учебную. Эффективным на занятиях факультатива является сочетание лекций его руководителя с различными видами самостоятельной работы учащихся (практические, реферативные работы, проведение небольших исследований, обзоры книжных новинок, дискуссии в группах, выполнение индивидуальных заданий, обсуждение докладов учащихся и др.). </w:t>
      </w:r>
    </w:p>
    <w:p w14:paraId="1148DB55"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Проверка и оценка знаний на факультативных занятиях больше является обучающей, чем контролирующей. Отметка выставляется только в том случае, когда она является результатом большой работы, проведенной учащимися, и выставляется чаще всего в виде зачета. Занятия в кружках и клубах по интересам, так </w:t>
      </w:r>
      <w:proofErr w:type="gramStart"/>
      <w:r w:rsidRPr="00FE7ACA">
        <w:rPr>
          <w:rFonts w:ascii="Times New Roman" w:hAnsi="Times New Roman" w:cs="Times New Roman"/>
          <w:sz w:val="28"/>
          <w:szCs w:val="28"/>
        </w:rPr>
        <w:t>же</w:t>
      </w:r>
      <w:proofErr w:type="gramEnd"/>
      <w:r w:rsidRPr="00FE7ACA">
        <w:rPr>
          <w:rFonts w:ascii="Times New Roman" w:hAnsi="Times New Roman" w:cs="Times New Roman"/>
          <w:sz w:val="28"/>
          <w:szCs w:val="28"/>
        </w:rPr>
        <w:t xml:space="preserve"> как и факультативные занятия, предполагают определенную программу деятельности. Однако эта программа менее строгая и допускает внесение существенных коррективов в зависимости от пожеланий детей, изменяющихся обстоятельств деятельности и других факторов. Кружковая и клубная работа строится на принципах добровольности, развития инициативы и самодеятельности детей, романтики и игры, учета возрастных и индивидуальных особенностей. </w:t>
      </w:r>
    </w:p>
    <w:p w14:paraId="0B1693EF"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Внеклассная и внешкольная работа по изобразительному искусству (ВВР по ИЗО) – важный компонент процесса обучения предмету. Школьным уроком не исчерпывается всего многообразия форм обучения изобразительному искусству. Зачастую внеклассная работа по ИЗО в школе ведется более интенсивно, чем протекающая в рамках обязательных занятий. Тем не менее, ВВР по ИЗО является только дополнительной по отношению к урокам в школе, которые принято считать основной формой обучения предмету. Остальные формы принято называть внеклассными и внешкольными, используя при этом термин «занятие»: кружковое занятие, студийное, факультативное и др. </w:t>
      </w:r>
    </w:p>
    <w:p w14:paraId="3DB8A1D0"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Возрастание роли ВВР по ИЗО обусловлено спецификой современной ситуации преподавания ИЗО в школе, связанной с осуществлением реформы образования: </w:t>
      </w:r>
    </w:p>
    <w:p w14:paraId="68C7E2C6"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сокращение объема преподавания ИЗО в базовой школе (получение полноценного художественного образования детьми осуществляется в кружках, художественных школах и студиях, в индивидуальной форме обучения, а не на уроках в школе); </w:t>
      </w:r>
    </w:p>
    <w:p w14:paraId="7F88889C"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lastRenderedPageBreak/>
        <w:t xml:space="preserve">• совершенствование процесса преподавания ИЗО, повлекшее развитие нестандартных форм проведения уроков, часть из которых привнесена из ВВР по ИЗО (урок-экскурсия, урок- конкурс, </w:t>
      </w:r>
      <w:proofErr w:type="spellStart"/>
      <w:r w:rsidRPr="00FE7ACA">
        <w:rPr>
          <w:rFonts w:ascii="Times New Roman" w:hAnsi="Times New Roman" w:cs="Times New Roman"/>
          <w:sz w:val="28"/>
          <w:szCs w:val="28"/>
        </w:rPr>
        <w:t>уроквикторина</w:t>
      </w:r>
      <w:proofErr w:type="spellEnd"/>
      <w:r w:rsidRPr="00FE7ACA">
        <w:rPr>
          <w:rFonts w:ascii="Times New Roman" w:hAnsi="Times New Roman" w:cs="Times New Roman"/>
          <w:sz w:val="28"/>
          <w:szCs w:val="28"/>
        </w:rPr>
        <w:t xml:space="preserve">, урок-сказка и др.) </w:t>
      </w:r>
    </w:p>
    <w:p w14:paraId="45A75AE2"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Современная ситуация в преподавании ИЗО особым образом сказывается на особенностях внеклассной работы по предмету. Вытеснение изо из учебного плана общеобразовательных школ, всё более широкое распространение изучения предмета на углублённом и расширенном уровнях, на внеклассных и внешкольных занятиях (кружках, клубах, студиях), создаёт условия для активизации внеклассной работы по изо, а, значит, и её развитие. Так, в последние годы активно развиваются такие формы внеклассной и внешкольной работы по предмету, как выставки детского творчества, олимпиады, конкурсы, а также студийные и клубные формы работы по ИЗО в школе. Внеклассная работа дает учителю полную свободу для творчества, а для учащихся создает возможность полнее проявить свои творческие способности, углубить познания в области изобразительного искусства, участвуя в работе изобразительных кружков, экскурсиях, в оформительской деятельности для школы. Возможности внеклассной работы открывают широкий простор для эстетического воспитания. </w:t>
      </w:r>
    </w:p>
    <w:p w14:paraId="4BA45152"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Изостудия (кружок) – наиболее распространенный вид внеклассной работы в школе. Изостудия должна решать следующие задачи: </w:t>
      </w:r>
    </w:p>
    <w:p w14:paraId="523217AF"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Эстетическое воспитание детей средствами искусства, воспитание их художественного вкуса, пробуждение интереса к изобразительному и декоративно-прикладному творчеству и помощь в овладении изобразительной грамотой и основами художественного ремесла. </w:t>
      </w:r>
    </w:p>
    <w:p w14:paraId="44D028A5"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Воспитание человека, творчески относящегося к любому делу. </w:t>
      </w:r>
    </w:p>
    <w:p w14:paraId="74191709" w14:textId="6E8D7BB8"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Начальная профессиональная подготовка в области художественного творчества, т.е. выявление одаренных школьников и развитие их творческих способностей в рамках специальной школы. </w:t>
      </w:r>
    </w:p>
    <w:p w14:paraId="67BD91C1"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Развитие у учащихся фантазии, образного мышления. </w:t>
      </w:r>
    </w:p>
    <w:p w14:paraId="03ADB11A"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Активизация творческого воображения, эмоциональной отзывчивости учащихся, их умения оценивать и строить жизнь по законам красоты. </w:t>
      </w:r>
    </w:p>
    <w:p w14:paraId="15208CFB"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Формирование у учащихся умения самостоятельно разработать и последовательно выполнить тематическую композицию и воспитание у них стремления использовать полученные в изостудии знания, умения и навыки в общественно-полезной работе-оформлении стенных газет, школьных выставок, праздничных вечеров и т.д. </w:t>
      </w:r>
    </w:p>
    <w:p w14:paraId="09E8D686"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Для наиболее полного решения этих задач необходимо использовать различные формы внеклассной работы. Занятия изобразительным искусством в школьных кружках являются продолжением классных занятий. Но кружковые занятия имеют свои особенности. </w:t>
      </w:r>
    </w:p>
    <w:p w14:paraId="2971359D"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Во-первых, это занятия для тех детей, которые серьезно интересуются изобразительным искусством. Занятия в изостудии являются для них эстетической потребностью. </w:t>
      </w:r>
    </w:p>
    <w:p w14:paraId="036465AF" w14:textId="77777777" w:rsidR="009677F3"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Во-вторых, структура деятельности кружка отличается от классных уроков. На уроках учитель обязан проводить обучение в соответствии со </w:t>
      </w:r>
      <w:r w:rsidRPr="00FE7ACA">
        <w:rPr>
          <w:rFonts w:ascii="Times New Roman" w:hAnsi="Times New Roman" w:cs="Times New Roman"/>
          <w:sz w:val="28"/>
          <w:szCs w:val="28"/>
        </w:rPr>
        <w:lastRenderedPageBreak/>
        <w:t xml:space="preserve">школьной программой. Организация работы кружка включает разработку содержания занятий с учетом склонностей интересов учащихся разного возраста. В кружках значительно шире применяются такие рисовальные материалы, как гуашь, темпера, черная тушь, сангина, пастель, мелки. Здесь берутся во внимание и подготовленность по искусству каждого учащегося и возможности кружка (обеспечение изобразительными материалами, наглядными пособиями и пр.). Отличительной особенностью занятий в кружках является и то, что большинство учебных заданий в кружке рассчитано на относительно длительное время – 3–6 часов, тогда как на уроке ИЗО самый длительный рисунок выполняется в течение 2–3 часов. </w:t>
      </w:r>
    </w:p>
    <w:p w14:paraId="1D085477" w14:textId="77228C11" w:rsidR="00FE7ACA" w:rsidRDefault="005B1E9F" w:rsidP="009677F3">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Формы и методы работы в изостудии более схожи с условиями в аудитории художественной школы. В кабинете на уроке рисования с натуры дети работают за партами, а в изостудии дети выполняют работу за мольбертами. В работе школьной изостудии учитель имеет возможность полностью использовать свою педагогическую квалификацию и творческий потенциал. Внеклассные занятия привлекают разнообразием своих форм и видов все больше учащихся. Нередко выявляются художественно-одаренные дети. При хорошо организованной внеклассной работе увлечение изобразительным искусством может продолжаться и в старшем возрасте. Учителю рисования необходимо хорошо знать своих учеников, их индивидуальные интересы, привычки и т.п., чтобы иметь возможность развивать их творческие способности. Но нельзя организовывать внеклассную работу по ИЗО так, чтобы она сводилась бы к наличию изостудии только для особо одаренных детей. На этих занятиях можно не требовать от детей с меньшими возможностями канонического выполнения рисунков, но к одаренным детям требования должны быть высокими. </w:t>
      </w:r>
    </w:p>
    <w:p w14:paraId="5BB2CDBC" w14:textId="639D268E"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В процессе обучения в изостудии дети больше раскрывают себя через рисунок. Имеется возможность выявить у учащихся уровень самостоятельных действий, раскрытие их способностей в нахождении наиболее выразительных средств для передачи образа. Занимаясь в изостудии, дети постепенно приобретают независимость в выборе разнообразных художественных материалов для изображения какой-либо темы, а учитель развивает их способности, сохраняя индивидуальный стиль каждого ученика изостудии.  </w:t>
      </w:r>
    </w:p>
    <w:p w14:paraId="02BBDD59"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Организация кружковой работы. </w:t>
      </w:r>
    </w:p>
    <w:p w14:paraId="7C60FD97"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Основное содержание вспомогательных форм обучения и отличия от урока Приемы организации индивидуальной, групповой </w:t>
      </w:r>
      <w:proofErr w:type="gramStart"/>
      <w:r w:rsidRPr="00FE7ACA">
        <w:rPr>
          <w:rFonts w:ascii="Times New Roman" w:hAnsi="Times New Roman" w:cs="Times New Roman"/>
          <w:sz w:val="28"/>
          <w:szCs w:val="28"/>
        </w:rPr>
        <w:t>работы</w:t>
      </w:r>
      <w:proofErr w:type="gramEnd"/>
      <w:r w:rsidRPr="00FE7ACA">
        <w:rPr>
          <w:rFonts w:ascii="Times New Roman" w:hAnsi="Times New Roman" w:cs="Times New Roman"/>
          <w:sz w:val="28"/>
          <w:szCs w:val="28"/>
        </w:rPr>
        <w:t xml:space="preserve"> С чего начинать организацию кружка? </w:t>
      </w:r>
      <w:proofErr w:type="gramStart"/>
      <w:r w:rsidRPr="00FE7ACA">
        <w:rPr>
          <w:rFonts w:ascii="Times New Roman" w:hAnsi="Times New Roman" w:cs="Times New Roman"/>
          <w:sz w:val="28"/>
          <w:szCs w:val="28"/>
        </w:rPr>
        <w:t>Дело это</w:t>
      </w:r>
      <w:proofErr w:type="gramEnd"/>
      <w:r w:rsidRPr="00FE7ACA">
        <w:rPr>
          <w:rFonts w:ascii="Times New Roman" w:hAnsi="Times New Roman" w:cs="Times New Roman"/>
          <w:sz w:val="28"/>
          <w:szCs w:val="28"/>
        </w:rPr>
        <w:t xml:space="preserve"> совсем не такое простое как может показаться на первый взгляд. Прежде всего, следует обратить особое внимание на три основных момента: профиль кружка, материальная база и интересы учащихся. Конечно, при выборе профиля кружка учителю следует считаться не только с субъективными, но и с объективными факторами, одним из которых является материальная база кабинета ИЗО. Организуя кружок, следует убедиться в наличии необходимого оборудования или возможности его приобрести. Организация кружка начинается с подготовки помещения, приобретения материалов и оборудования. От этого во многом зависит </w:t>
      </w:r>
      <w:r w:rsidRPr="00FE7ACA">
        <w:rPr>
          <w:rFonts w:ascii="Times New Roman" w:hAnsi="Times New Roman" w:cs="Times New Roman"/>
          <w:sz w:val="28"/>
          <w:szCs w:val="28"/>
        </w:rPr>
        <w:lastRenderedPageBreak/>
        <w:t xml:space="preserve">успешная деятельность творческого коллектива. Материальное оснащение кружковых занятий постоянно должно быть в поле зрения педагога. Основу учебно-материальной базы, на которой в массовой школе можно осуществлять занятия декоративно-прикладным искусством, составляют учебные мастерские и их учебное оборудование. Помещение для занятий должно быть светлым, теплым и по объему и размерам полезной площади соответствовать числу занимающихся учащихся. Размещение учебного оборудования должно соответствовать требованиям и нормам промышленной санитарии и безопасности работы школьников. Особое внимание следует уделить рабочему месту ученика. Учет интересов учащихся - </w:t>
      </w:r>
      <w:proofErr w:type="gramStart"/>
      <w:r w:rsidRPr="00FE7ACA">
        <w:rPr>
          <w:rFonts w:ascii="Times New Roman" w:hAnsi="Times New Roman" w:cs="Times New Roman"/>
          <w:sz w:val="28"/>
          <w:szCs w:val="28"/>
        </w:rPr>
        <w:t>это бесспорно</w:t>
      </w:r>
      <w:proofErr w:type="gramEnd"/>
      <w:r w:rsidRPr="00FE7ACA">
        <w:rPr>
          <w:rFonts w:ascii="Times New Roman" w:hAnsi="Times New Roman" w:cs="Times New Roman"/>
          <w:sz w:val="28"/>
          <w:szCs w:val="28"/>
        </w:rPr>
        <w:t xml:space="preserve">, очень сложный, ответственный момент в организации кружка. Интересы у ребят могут быть самые разнообразные даже в рамках одного какого-нибудь направления. Перед учителем стоит труднейшая задача – так поставить дело, чтобы все кружковцы были удовлетворены. Нагрузка во время занятий должна соответствовать силам и возможностям кружковцев, обеспечивать их занятость в течении всего занятия. </w:t>
      </w:r>
    </w:p>
    <w:p w14:paraId="4862E159"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Организация кружковых занятий проходит следующие этапы: </w:t>
      </w:r>
    </w:p>
    <w:p w14:paraId="0D734BC5"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1. Изучение и постановка воспитательных задач. Данный этап направлен на изучение особенностей школьников и коллектива класса, для эффективного воспитательного воздействия и определение наиболее актуальных для сложившихся в классе ситуаций воспитательных задач. </w:t>
      </w:r>
    </w:p>
    <w:p w14:paraId="609AB159"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2. Моделирование предстоящей внеклассной воспитательной работы заключается в том, что педагог создает в своем воображении образ определенной формы. </w:t>
      </w:r>
    </w:p>
    <w:p w14:paraId="3C45CCE2"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3. Анализ проведенной работы направлен на сравнение модели с реальным воплощением, выявление удачных и проблемных моментов, их причин и последствий. В зависимости от поставленных задач руководители кружков на занятиях используют различные методы обучения (словесные, наглядные, практические), чаще всего, сочетая их. Каждое занятие по темам программы, как правило, включает теоретическую часть и практическую. </w:t>
      </w:r>
    </w:p>
    <w:p w14:paraId="1475BD55"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Теоретические сведения – это объяснение нового материала, информация познавательного характера. Теоретический материал обычно дается в начале занятия. Новую тему, то или иное задание надо объяснять просто и доходчиво, обязательно закрепляя объяснение показом наглядного материала. Основное место на занятиях отводится практическим работам. Руководителю необходимо продумать содержание и ход каждого занятия, чтобы практическая часть являлась естественным продолжением и закреплением теоретических сведений, полученных учащимися. Для поддержания постоянного интереса учащихся к занятиям руководителю рекомендуется разнообразить методы работы. </w:t>
      </w:r>
    </w:p>
    <w:p w14:paraId="395750B7"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Руководитель кружка выбирает методы обучения, методические приемы с учетом знаний и практических навыков, получаемых школьниками на занятиях кружка, поэтому методика обучения в начале учебного года отличается от той, которая применяется в конце года ВВР по ИЗО осуществляется в специфических формах, способах организации, имеет </w:t>
      </w:r>
      <w:r w:rsidRPr="00FE7ACA">
        <w:rPr>
          <w:rFonts w:ascii="Times New Roman" w:hAnsi="Times New Roman" w:cs="Times New Roman"/>
          <w:sz w:val="28"/>
          <w:szCs w:val="28"/>
        </w:rPr>
        <w:lastRenderedPageBreak/>
        <w:t xml:space="preserve">специфические особенности методики. Формой в дидактике называют способ осуществления учебно-воспитательного процесса, оболочку для его внутренней сущности, логики и содержания. В.А. </w:t>
      </w:r>
      <w:r w:rsidR="00FE7ACA">
        <w:rPr>
          <w:rFonts w:ascii="Times New Roman" w:hAnsi="Times New Roman" w:cs="Times New Roman"/>
          <w:sz w:val="28"/>
          <w:szCs w:val="28"/>
        </w:rPr>
        <w:t> </w:t>
      </w:r>
      <w:proofErr w:type="spellStart"/>
      <w:r w:rsidRPr="00FE7ACA">
        <w:rPr>
          <w:rFonts w:ascii="Times New Roman" w:hAnsi="Times New Roman" w:cs="Times New Roman"/>
          <w:sz w:val="28"/>
          <w:szCs w:val="28"/>
        </w:rPr>
        <w:t>Сластенин</w:t>
      </w:r>
      <w:proofErr w:type="spellEnd"/>
      <w:r w:rsidRPr="00FE7ACA">
        <w:rPr>
          <w:rFonts w:ascii="Times New Roman" w:hAnsi="Times New Roman" w:cs="Times New Roman"/>
          <w:sz w:val="28"/>
          <w:szCs w:val="28"/>
        </w:rPr>
        <w:t xml:space="preserve"> называет педагогической формой устойчивую завершённую организацию педагогического процесса в единстве всех его компонентов: содержания, целей, принципов, методов, средств, приёмов. Ф имеют социальную обусловленность, возникают и совершенствуются в связи с развитием дидактических систем. </w:t>
      </w:r>
    </w:p>
    <w:p w14:paraId="1D85E76E"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Среди форм ВВР по ИЗО выделяют:</w:t>
      </w:r>
    </w:p>
    <w:p w14:paraId="2FC3254E"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 по количеству обучаемых: массовые (конкурс рисунка, олимпиада неделя изобразительного искусства), коллективные (предметный вечер), групповые (пленэрное и студийное занятия), </w:t>
      </w:r>
      <w:proofErr w:type="spellStart"/>
      <w:r w:rsidRPr="00FE7ACA">
        <w:rPr>
          <w:rFonts w:ascii="Times New Roman" w:hAnsi="Times New Roman" w:cs="Times New Roman"/>
          <w:sz w:val="28"/>
          <w:szCs w:val="28"/>
        </w:rPr>
        <w:t>микрогрупповые</w:t>
      </w:r>
      <w:proofErr w:type="spellEnd"/>
      <w:r w:rsidRPr="00FE7ACA">
        <w:rPr>
          <w:rFonts w:ascii="Times New Roman" w:hAnsi="Times New Roman" w:cs="Times New Roman"/>
          <w:sz w:val="28"/>
          <w:szCs w:val="28"/>
        </w:rPr>
        <w:t xml:space="preserve"> (занятия в парах сменного состава) и индивидуальные формы; </w:t>
      </w:r>
    </w:p>
    <w:p w14:paraId="4267DD06"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по месту учёбы: внеклассные школьные занятия (факультативы, кружки, студии, выставки, конкурсы и т.д.) и внешкольные занятия (домашняя самостоятельная изобразительная деятельность, экскурсии и др.); </w:t>
      </w:r>
    </w:p>
    <w:p w14:paraId="2DC35C2E"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по длительности учебных занятий: классическое занятие (45 мин.), спаренное занятие (90 мин.), спаренное укороченное занятие (70 мин.), «занятия без звонков» произвольной длительности (пленэр). </w:t>
      </w:r>
    </w:p>
    <w:p w14:paraId="0CBEAA8C"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ВВР по ИЗО классифицируются также по степени сложности. Выделяют формы простые, составные и комплексные. Простые построены на минимальном количестве методов и средств, посвящены, как правило, одной теме (содержанию). К ним относятся: беседа об искусстве, экскурсия на выставку, викторина, зачет, экзамен, лекция, консультация, культпоход, «турнир знатоков», выставка и т.п. Составные строятся на развитии простых или на их разнообразных сочетаниях: конкурс детского рисунка, предметный вечер, трудовой десант по оформлению школьных помещений к празднику, конференция по изобразительному искусству и др. Например, вечер может содержать в себе беседу, выступления, викторину, игры, и пр. Комплексные формы создаются как целенаправленная подборка (комплекс) простых и составных форм: дни открытых дверей, неделя изобразительного искусства, предметная неделя, неделя книги об искусстве, и т.д. </w:t>
      </w:r>
    </w:p>
    <w:p w14:paraId="12EEF2F1"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Исследователями выделены критерии эффективности форм внеклассной работы в соответствии с их видами: </w:t>
      </w:r>
    </w:p>
    <w:p w14:paraId="0F692978"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Массовые (предметные утренники, школьные предметные вечера, праздники, выставки, конкурсы, олимпиады, конференции) – количественный охват и активность участников, чёткость и организованность проведения, достижение образовательных и воспитательных целей; </w:t>
      </w:r>
    </w:p>
    <w:p w14:paraId="564D507D"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Групповые (кружки, клубы, студии и др.) – стабильный состав кружка, клуба, заметные коллективные достижения, признаваемые окружающими;</w:t>
      </w:r>
    </w:p>
    <w:p w14:paraId="2BA822FA"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 Индивидуальные (консультации в сочетании с дополнительными занятиями, репетиторские занятия) – поступательные позитивные изменения в знаниях, умениях, поведении, отношениях воспитанника, т.е. в личности в целом. </w:t>
      </w:r>
    </w:p>
    <w:p w14:paraId="7E821444"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lastRenderedPageBreak/>
        <w:t xml:space="preserve">Грань между формой и методом достаточно условна. Например, такая простая форма ВВР по ИЗО как беседа используется как метод проведения занятия. В этом качестве беседа широко используется и на уроках ИЗО, и на других занятиях наряду с другими методами. Однако, в практике преподавания изобразительного искусства беседа как самостоятельная форма не распространена широко. Беседа как основной метод проведения занятий используется в кружковой, факультативной, клубной формах работы, а также как элемент, фрагмент более крупных составных форм – предметных утренников, вечеров, праздников, комплексных форм – недели изобразительного искусства и др. </w:t>
      </w:r>
    </w:p>
    <w:p w14:paraId="21C0AAB5" w14:textId="7761B00D"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Этапы организации школьной выставки </w:t>
      </w:r>
    </w:p>
    <w:p w14:paraId="4804666B"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Перед учителем, преподающим в школе изобразительное искусство, стоит много педагогических и методических проблем. Это обусловлено тем, что предмет требует от детей определенных способностей, не является главным в школьной программе и на его изучение отведен 1 час в неделю. Поэтому в воспитании устойчивого интереса школьников к познанию искусства и самого процесса художественной деятельности необходим собственный поиск и собственные решения педагога. Эти поиски направлены на совершенствование учебных и внеурочных форм деятельности школьников. Остановимся на проблеме технологии подготовки, организации и проведения школьных художественных выставок, на которых представляются результаты творческой деятельности школьников. Охарактеризуем основные направления этого процесса. Он начинается с воспитания положительной мотивации школьников. </w:t>
      </w:r>
    </w:p>
    <w:p w14:paraId="4D6ED36D" w14:textId="77777777" w:rsidR="009677F3"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Для этого учителю необходимо находить активные методы учебно</w:t>
      </w:r>
      <w:r w:rsidR="00FE7ACA">
        <w:rPr>
          <w:rFonts w:ascii="Times New Roman" w:hAnsi="Times New Roman" w:cs="Times New Roman"/>
          <w:sz w:val="28"/>
          <w:szCs w:val="28"/>
        </w:rPr>
        <w:t>-</w:t>
      </w:r>
      <w:r w:rsidRPr="00FE7ACA">
        <w:rPr>
          <w:rFonts w:ascii="Times New Roman" w:hAnsi="Times New Roman" w:cs="Times New Roman"/>
          <w:sz w:val="28"/>
          <w:szCs w:val="28"/>
        </w:rPr>
        <w:t xml:space="preserve">воспитательной работы убеждать детей в том, что искусство и все виды художественного творчества – это серьезный труд, требующий больших усилий, приносящий большую радость и пользу; формировать у школьников потребность ко всему красивому, стремление создавать прекрасное своими руками. Таким образом, побуждение учеников к участию в выставках по художественно-эстетической деятельности и созданию выставочных работ является первоочередной задачей педагога. Это первый этап процесса. Его сущностью является постановка цели, определение темы выставки и создание положительной мотивации, к созданию выставочных работ. </w:t>
      </w:r>
    </w:p>
    <w:p w14:paraId="4B929295" w14:textId="5FF176FE"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На следующем, втором этапе главным является сам процесс создания творческих работ, объединенных общей темой. Это самый сложный и трудоемкий этап. Его успешность зависит от целого ряда факторов: </w:t>
      </w:r>
    </w:p>
    <w:p w14:paraId="276C6EF4"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знания индивидуальных особенностей детей;</w:t>
      </w:r>
    </w:p>
    <w:p w14:paraId="5FD77D86"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 их творческого потенциала; • склонности к различным видам художественной деятельности, различным жанрам и техникам; </w:t>
      </w:r>
    </w:p>
    <w:p w14:paraId="787D0617" w14:textId="77777777" w:rsid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наличия необходимых умений и навыков; </w:t>
      </w:r>
    </w:p>
    <w:p w14:paraId="5655AAE1" w14:textId="77777777" w:rsidR="009677F3"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 наличия необходимых средств для выполнения творческой работы. </w:t>
      </w:r>
    </w:p>
    <w:p w14:paraId="4554C409" w14:textId="77777777" w:rsidR="009677F3"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Вместе с детьми идет обсуждение их художественных замыслов, идей, проектов. Под руководством учителя дети выполняют наброски, эскизы, обдумывают композицию. Важно, чтобы у ребенка возникла уверенность, что </w:t>
      </w:r>
      <w:r w:rsidRPr="00FE7ACA">
        <w:rPr>
          <w:rFonts w:ascii="Times New Roman" w:hAnsi="Times New Roman" w:cs="Times New Roman"/>
          <w:sz w:val="28"/>
          <w:szCs w:val="28"/>
        </w:rPr>
        <w:lastRenderedPageBreak/>
        <w:t xml:space="preserve">он может выполнить работу по данной теме. Процесс творчества индивидуализирован: некоторые успевают выполнить работу на занятии, другие - заканчивают ее дома. </w:t>
      </w:r>
    </w:p>
    <w:p w14:paraId="55B88A22" w14:textId="77777777" w:rsidR="009677F3"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На третьем этапе происходит коллективное обсуждение и отбор работ, под руководством педагога, но при активном участии самих школьников. Не всегда мнение учеников совпадает с мнением учителя. Поэтому последующее объяснение руководителя выставки, по той или иной работе, должно быть грамотно обосновано и в доступной форме донесено до учеников. Во всем процессе создания выставки творческих работ получение знаний и умений выступает не как средство достижений честолюбивых целей, а как самоценная деятельность, важная для их развития. </w:t>
      </w:r>
    </w:p>
    <w:p w14:paraId="1D486218" w14:textId="77777777" w:rsidR="009677F3"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Ведущая роль в организации и проведении выставки принадлежит учителю, обладающему знаниями и умениями, как в области декоративно-оформительского искусства, так и в области психолого-педагогических дисциплин и методики преподавания. Но при этом важно привлечь самих учащихся к оформлению выставки. </w:t>
      </w:r>
    </w:p>
    <w:p w14:paraId="5D868A2C" w14:textId="77777777" w:rsidR="009677F3"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На четвертом этапе происходит оформление самой выставки. Охарактеризуем этот процесс организации. Существенным является выбор места и расположения работ. Размещение выставки и самих работ подчиняется определенным законам. </w:t>
      </w:r>
    </w:p>
    <w:p w14:paraId="097A2920" w14:textId="77777777" w:rsidR="009677F3"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В любом виде искусства композиционное мастерство является основой творческого процесса, где единство формы художественного произведения обусловлено его содержанием. Это относится и к выставкам, как целостному организму художественного творчества. Равновесие объектов или частей любого предмета, различных элементов на плоскости или сооружения вызывает чувства покоя, уверенности, устойчивости. Если элементы композиции зрительно сбалансированы между собой, дают яркую информацию об устойчивости, то здесь имеет место композиционное равновесие. Равновесие присуще многим объектам окружающего мира, в том числе животному и растительному. Так и выставка является объектом, кусочком мира, в котором мы трудимся и учимся. Здесь должны действовать все те же законы изобразительного искусства. </w:t>
      </w:r>
    </w:p>
    <w:p w14:paraId="40B473C8" w14:textId="77777777" w:rsidR="009677F3"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В размещении выставки и работ мы следуем законам симметрии и асимметрии; выбор того или иного вида композиции зависит от цели и поставленных задач, где главное значение приобретает содержание, характер материала и психологические особенности восприятия, выступающие в тесном взаимодействии. При размещении выставки должен учитываться фактор цвета; то или иное цветовое решение художественной работы, всего стенда в целом, позволяет лучше раскрыть их содержание. Если учесть еще тот факт, что система зрения, восприятия цвета и света самым существенным образом влияет на функции других органов чувств и психическую деятельность человека, можно понять, как важно знать основы </w:t>
      </w:r>
      <w:proofErr w:type="spellStart"/>
      <w:r w:rsidRPr="00FE7ACA">
        <w:rPr>
          <w:rFonts w:ascii="Times New Roman" w:hAnsi="Times New Roman" w:cs="Times New Roman"/>
          <w:sz w:val="28"/>
          <w:szCs w:val="28"/>
        </w:rPr>
        <w:t>цветоведения</w:t>
      </w:r>
      <w:proofErr w:type="spellEnd"/>
      <w:r w:rsidRPr="00FE7ACA">
        <w:rPr>
          <w:rFonts w:ascii="Times New Roman" w:hAnsi="Times New Roman" w:cs="Times New Roman"/>
          <w:sz w:val="28"/>
          <w:szCs w:val="28"/>
        </w:rPr>
        <w:t xml:space="preserve"> для правильного научно-обоснованного и эстетически полноценного использования цвета в решении окружающей среды. </w:t>
      </w:r>
    </w:p>
    <w:p w14:paraId="29808286" w14:textId="77777777" w:rsidR="009677F3"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lastRenderedPageBreak/>
        <w:t xml:space="preserve">Важно учесть соотношение выставки и окружающего пространства. Возможно, что выставка в кабинете занимает какое-то ограниченное место; или уголок, или одну из стен; тогда пространство может быть разделено перегородками-подрамниками, обтянутыми тканью или бумагой, сквозными решетками, выполненными из деревянных реек, висящими на веревках или нитях экспонатами, столбами и колоннами, образованными свешивающимися сверху тканями без твердой основы. Для решения пространства могут быть использованы низкие и высокие объемные элементы (подставки, витрины и т.д.). </w:t>
      </w:r>
    </w:p>
    <w:p w14:paraId="1AC69284" w14:textId="65CAA09D" w:rsidR="009677F3"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Важное значение в окружающей среде выставки имеет масштабность, то есть соотношение различных элементов между собой и размеров помещения. В восприятии работ и выставки в целом огромно значение имеет свет. Он определяет восприятие формы и пространства</w:t>
      </w:r>
      <w:proofErr w:type="gramStart"/>
      <w:r w:rsidRPr="00FE7ACA">
        <w:rPr>
          <w:rFonts w:ascii="Times New Roman" w:hAnsi="Times New Roman" w:cs="Times New Roman"/>
          <w:sz w:val="28"/>
          <w:szCs w:val="28"/>
        </w:rPr>
        <w:t>, При</w:t>
      </w:r>
      <w:proofErr w:type="gramEnd"/>
      <w:r w:rsidRPr="00FE7ACA">
        <w:rPr>
          <w:rFonts w:ascii="Times New Roman" w:hAnsi="Times New Roman" w:cs="Times New Roman"/>
          <w:sz w:val="28"/>
          <w:szCs w:val="28"/>
        </w:rPr>
        <w:t xml:space="preserve"> этом очень важно учитывать не только направление лучей, но и расположение теней, которые не мешали бы зрительному восприятию выставки в целом и отдельным элементам. Представление об общих закономерностях организации пространственной среды, средствах и свойствах композиции, </w:t>
      </w:r>
      <w:proofErr w:type="spellStart"/>
      <w:r w:rsidRPr="00FE7ACA">
        <w:rPr>
          <w:rFonts w:ascii="Times New Roman" w:hAnsi="Times New Roman" w:cs="Times New Roman"/>
          <w:sz w:val="28"/>
          <w:szCs w:val="28"/>
        </w:rPr>
        <w:t>цветоведения</w:t>
      </w:r>
      <w:proofErr w:type="spellEnd"/>
      <w:r w:rsidRPr="00FE7ACA">
        <w:rPr>
          <w:rFonts w:ascii="Times New Roman" w:hAnsi="Times New Roman" w:cs="Times New Roman"/>
          <w:sz w:val="28"/>
          <w:szCs w:val="28"/>
        </w:rPr>
        <w:t>, воспитательных возможностях и психолого-педагогических аспектах деятельности дают возможность грамотно организовать работу учащихся по оформлению школьных выставок и интерьеров. Таким образом, важно обратить пристальное внимание на средства и способы размещения детских работ, организующих пространство интерьера в целом. Здесь особенно создаются благоприятные условия для художественно</w:t>
      </w:r>
      <w:r w:rsidR="009677F3">
        <w:rPr>
          <w:rFonts w:ascii="Times New Roman" w:hAnsi="Times New Roman" w:cs="Times New Roman"/>
          <w:sz w:val="28"/>
          <w:szCs w:val="28"/>
        </w:rPr>
        <w:t>-</w:t>
      </w:r>
      <w:r w:rsidRPr="00FE7ACA">
        <w:rPr>
          <w:rFonts w:ascii="Times New Roman" w:hAnsi="Times New Roman" w:cs="Times New Roman"/>
          <w:sz w:val="28"/>
          <w:szCs w:val="28"/>
        </w:rPr>
        <w:t xml:space="preserve">творческой деятельности учащихся, благодаря разнообразию видов декоративно-оформительского искусства и художественных техник. Это прекрасная возможность нравственного, эстетического и художественного воспитания детей. </w:t>
      </w:r>
    </w:p>
    <w:p w14:paraId="0543DDAE" w14:textId="4EEF8E6B" w:rsidR="00FF5A30" w:rsidRPr="00FE7ACA" w:rsidRDefault="005B1E9F" w:rsidP="00FE7ACA">
      <w:pPr>
        <w:spacing w:after="0" w:line="240" w:lineRule="auto"/>
        <w:ind w:firstLine="708"/>
        <w:jc w:val="both"/>
        <w:rPr>
          <w:rFonts w:ascii="Times New Roman" w:hAnsi="Times New Roman" w:cs="Times New Roman"/>
          <w:sz w:val="28"/>
          <w:szCs w:val="28"/>
        </w:rPr>
      </w:pPr>
      <w:r w:rsidRPr="00FE7ACA">
        <w:rPr>
          <w:rFonts w:ascii="Times New Roman" w:hAnsi="Times New Roman" w:cs="Times New Roman"/>
          <w:sz w:val="28"/>
          <w:szCs w:val="28"/>
        </w:rPr>
        <w:t xml:space="preserve">Планомерно-тематическая работа учащихся может осуществляться непосредственно в кабинете изобразительного искусства и мастерских школы, исключив многие негативные явления, разнобой и низкий эстетический уровень художественного оформления окружающей среды. </w:t>
      </w:r>
    </w:p>
    <w:p w14:paraId="01B295B0" w14:textId="3B252FD8" w:rsidR="00024157" w:rsidRPr="00FE7ACA" w:rsidRDefault="00024157" w:rsidP="00FE7ACA">
      <w:pPr>
        <w:spacing w:after="0" w:line="240" w:lineRule="auto"/>
        <w:jc w:val="both"/>
        <w:rPr>
          <w:rFonts w:ascii="Times New Roman" w:hAnsi="Times New Roman" w:cs="Times New Roman"/>
          <w:sz w:val="28"/>
          <w:szCs w:val="28"/>
        </w:rPr>
      </w:pPr>
    </w:p>
    <w:p w14:paraId="1CA94013" w14:textId="240BD1C6" w:rsidR="00024157" w:rsidRPr="00FE7ACA" w:rsidRDefault="00024157" w:rsidP="00FE7ACA">
      <w:pPr>
        <w:spacing w:after="0" w:line="240" w:lineRule="auto"/>
        <w:jc w:val="both"/>
        <w:rPr>
          <w:rFonts w:ascii="Times New Roman" w:hAnsi="Times New Roman" w:cs="Times New Roman"/>
          <w:sz w:val="28"/>
          <w:szCs w:val="28"/>
        </w:rPr>
      </w:pPr>
    </w:p>
    <w:p w14:paraId="747B6D99" w14:textId="3E286A2A" w:rsidR="00024157" w:rsidRPr="00FE7ACA" w:rsidRDefault="00024157" w:rsidP="00FE7ACA">
      <w:pPr>
        <w:spacing w:after="0" w:line="240" w:lineRule="auto"/>
        <w:jc w:val="both"/>
        <w:rPr>
          <w:rFonts w:ascii="Times New Roman" w:hAnsi="Times New Roman" w:cs="Times New Roman"/>
          <w:sz w:val="28"/>
          <w:szCs w:val="28"/>
        </w:rPr>
      </w:pPr>
    </w:p>
    <w:p w14:paraId="2F7D902C" w14:textId="7F10A353" w:rsidR="00024157" w:rsidRPr="00FE7ACA" w:rsidRDefault="00024157" w:rsidP="00FE7ACA">
      <w:pPr>
        <w:shd w:val="clear" w:color="auto" w:fill="FFFFFF" w:themeFill="background1"/>
        <w:spacing w:after="0" w:line="240" w:lineRule="auto"/>
        <w:jc w:val="both"/>
        <w:rPr>
          <w:rFonts w:ascii="Times New Roman" w:hAnsi="Times New Roman" w:cs="Times New Roman"/>
          <w:sz w:val="28"/>
          <w:szCs w:val="28"/>
        </w:rPr>
      </w:pPr>
    </w:p>
    <w:p w14:paraId="128077AE" w14:textId="77777777" w:rsidR="00024157" w:rsidRPr="00FE7ACA" w:rsidRDefault="00024157" w:rsidP="00FE7ACA">
      <w:pPr>
        <w:shd w:val="clear" w:color="auto" w:fill="FFFFFF" w:themeFill="background1"/>
        <w:spacing w:after="0" w:line="240" w:lineRule="auto"/>
        <w:jc w:val="both"/>
        <w:rPr>
          <w:rFonts w:ascii="Times New Roman" w:hAnsi="Times New Roman" w:cs="Times New Roman"/>
          <w:color w:val="333333"/>
          <w:sz w:val="28"/>
          <w:szCs w:val="28"/>
          <w:shd w:val="clear" w:color="auto" w:fill="F6F6F6"/>
        </w:rPr>
      </w:pPr>
      <w:r w:rsidRPr="00FE7ACA">
        <w:rPr>
          <w:rFonts w:ascii="Times New Roman" w:hAnsi="Times New Roman" w:cs="Times New Roman"/>
          <w:color w:val="333333"/>
          <w:sz w:val="28"/>
          <w:szCs w:val="28"/>
          <w:shd w:val="clear" w:color="auto" w:fill="F6F6F6"/>
        </w:rPr>
        <w:t>Л</w:t>
      </w:r>
      <w:r w:rsidRPr="00FE7ACA">
        <w:rPr>
          <w:rFonts w:ascii="Times New Roman" w:hAnsi="Times New Roman" w:cs="Times New Roman"/>
          <w:color w:val="333333"/>
          <w:sz w:val="28"/>
          <w:szCs w:val="28"/>
          <w:shd w:val="clear" w:color="auto" w:fill="F6F6F6"/>
        </w:rPr>
        <w:t xml:space="preserve">итература: </w:t>
      </w:r>
    </w:p>
    <w:p w14:paraId="1FB90277" w14:textId="77777777" w:rsidR="005B1E9F" w:rsidRPr="00FE7ACA" w:rsidRDefault="005B1E9F" w:rsidP="00FE7ACA">
      <w:pPr>
        <w:pStyle w:val="a3"/>
        <w:numPr>
          <w:ilvl w:val="0"/>
          <w:numId w:val="1"/>
        </w:numPr>
        <w:shd w:val="clear" w:color="auto" w:fill="F9FAFA"/>
        <w:spacing w:before="0" w:beforeAutospacing="0" w:after="0" w:afterAutospacing="0"/>
        <w:jc w:val="both"/>
        <w:rPr>
          <w:color w:val="000000"/>
          <w:sz w:val="28"/>
          <w:szCs w:val="28"/>
        </w:rPr>
      </w:pPr>
      <w:r w:rsidRPr="00FE7ACA">
        <w:rPr>
          <w:color w:val="000000"/>
          <w:sz w:val="28"/>
          <w:szCs w:val="28"/>
        </w:rPr>
        <w:t>Комарова Т.С., Савенков А.И. Коллективное творчество дошкольников: Учеб. пос. М., 2005.</w:t>
      </w:r>
    </w:p>
    <w:p w14:paraId="17A05C7C" w14:textId="77777777" w:rsidR="005B1E9F" w:rsidRPr="00FE7ACA" w:rsidRDefault="005B1E9F" w:rsidP="00FE7ACA">
      <w:pPr>
        <w:pStyle w:val="a3"/>
        <w:numPr>
          <w:ilvl w:val="0"/>
          <w:numId w:val="1"/>
        </w:numPr>
        <w:shd w:val="clear" w:color="auto" w:fill="F9FAFA"/>
        <w:spacing w:before="0" w:beforeAutospacing="0" w:after="0" w:afterAutospacing="0"/>
        <w:jc w:val="both"/>
        <w:rPr>
          <w:color w:val="000000"/>
          <w:sz w:val="28"/>
          <w:szCs w:val="28"/>
        </w:rPr>
      </w:pPr>
      <w:proofErr w:type="spellStart"/>
      <w:r w:rsidRPr="00FE7ACA">
        <w:rPr>
          <w:color w:val="000000"/>
          <w:sz w:val="28"/>
          <w:szCs w:val="28"/>
        </w:rPr>
        <w:t>Колякина</w:t>
      </w:r>
      <w:proofErr w:type="spellEnd"/>
      <w:r w:rsidRPr="00FE7ACA">
        <w:rPr>
          <w:color w:val="000000"/>
          <w:sz w:val="28"/>
          <w:szCs w:val="28"/>
        </w:rPr>
        <w:t xml:space="preserve"> В.И. Методика организации уроков коллективного творчества: Планы и сценарии уроков изобразительного искусства. М., 2004.</w:t>
      </w:r>
    </w:p>
    <w:p w14:paraId="7E08BEEF" w14:textId="77777777" w:rsidR="005B1E9F" w:rsidRPr="00FE7ACA" w:rsidRDefault="005B1E9F" w:rsidP="00FE7ACA">
      <w:pPr>
        <w:pStyle w:val="a3"/>
        <w:numPr>
          <w:ilvl w:val="0"/>
          <w:numId w:val="1"/>
        </w:numPr>
        <w:shd w:val="clear" w:color="auto" w:fill="F9FAFA"/>
        <w:spacing w:before="0" w:beforeAutospacing="0" w:after="0" w:afterAutospacing="0"/>
        <w:jc w:val="both"/>
        <w:rPr>
          <w:color w:val="000000"/>
          <w:sz w:val="28"/>
          <w:szCs w:val="28"/>
        </w:rPr>
      </w:pPr>
      <w:r w:rsidRPr="00FE7ACA">
        <w:rPr>
          <w:color w:val="000000"/>
          <w:sz w:val="28"/>
          <w:szCs w:val="28"/>
        </w:rPr>
        <w:t xml:space="preserve">Мелик-Пашаев А. Не </w:t>
      </w:r>
      <w:proofErr w:type="spellStart"/>
      <w:r w:rsidRPr="00FE7ACA">
        <w:rPr>
          <w:color w:val="000000"/>
          <w:sz w:val="28"/>
          <w:szCs w:val="28"/>
        </w:rPr>
        <w:t>расчеловечивать</w:t>
      </w:r>
      <w:proofErr w:type="spellEnd"/>
      <w:r w:rsidRPr="00FE7ACA">
        <w:rPr>
          <w:color w:val="000000"/>
          <w:sz w:val="28"/>
          <w:szCs w:val="28"/>
        </w:rPr>
        <w:t xml:space="preserve"> школу и общество // Искусство в школе. 2011. № 3.</w:t>
      </w:r>
    </w:p>
    <w:p w14:paraId="6CD7D8EB" w14:textId="77777777" w:rsidR="00024157" w:rsidRPr="00FE7ACA" w:rsidRDefault="00024157" w:rsidP="001F3563">
      <w:pPr>
        <w:pStyle w:val="a4"/>
        <w:numPr>
          <w:ilvl w:val="0"/>
          <w:numId w:val="1"/>
        </w:numPr>
        <w:spacing w:after="0" w:line="240" w:lineRule="auto"/>
        <w:jc w:val="both"/>
        <w:rPr>
          <w:rFonts w:ascii="Times New Roman" w:hAnsi="Times New Roman" w:cs="Times New Roman"/>
          <w:color w:val="333333"/>
          <w:sz w:val="28"/>
          <w:szCs w:val="28"/>
          <w:shd w:val="clear" w:color="auto" w:fill="F6F6F6"/>
        </w:rPr>
      </w:pPr>
      <w:r w:rsidRPr="00FE7ACA">
        <w:rPr>
          <w:rFonts w:ascii="Times New Roman" w:hAnsi="Times New Roman" w:cs="Times New Roman"/>
          <w:color w:val="333333"/>
          <w:sz w:val="28"/>
          <w:szCs w:val="28"/>
          <w:shd w:val="clear" w:color="auto" w:fill="F6F6F6"/>
        </w:rPr>
        <w:t xml:space="preserve">Павловская, Н. К. Организация внеклассной работы по изобразительному искусству в начальной школе / Н. К. Павловская. — </w:t>
      </w:r>
      <w:proofErr w:type="gramStart"/>
      <w:r w:rsidRPr="00FE7ACA">
        <w:rPr>
          <w:rFonts w:ascii="Times New Roman" w:hAnsi="Times New Roman" w:cs="Times New Roman"/>
          <w:color w:val="333333"/>
          <w:sz w:val="28"/>
          <w:szCs w:val="28"/>
          <w:shd w:val="clear" w:color="auto" w:fill="F6F6F6"/>
        </w:rPr>
        <w:lastRenderedPageBreak/>
        <w:t>Текст :</w:t>
      </w:r>
      <w:proofErr w:type="gramEnd"/>
      <w:r w:rsidRPr="00FE7ACA">
        <w:rPr>
          <w:rFonts w:ascii="Times New Roman" w:hAnsi="Times New Roman" w:cs="Times New Roman"/>
          <w:color w:val="333333"/>
          <w:sz w:val="28"/>
          <w:szCs w:val="28"/>
          <w:shd w:val="clear" w:color="auto" w:fill="F6F6F6"/>
        </w:rPr>
        <w:t xml:space="preserve"> непосредственный // Молодой ученый. — 2017. — № 13 (147). — С. 587-590. — URL: https://moluch.ru/archive/147/41248/ </w:t>
      </w:r>
    </w:p>
    <w:p w14:paraId="641F8EAA" w14:textId="2A46919A" w:rsidR="00024157" w:rsidRPr="00FE7ACA" w:rsidRDefault="00024157" w:rsidP="001F3563">
      <w:pPr>
        <w:pStyle w:val="a4"/>
        <w:numPr>
          <w:ilvl w:val="0"/>
          <w:numId w:val="1"/>
        </w:numPr>
        <w:spacing w:after="0" w:line="240" w:lineRule="auto"/>
        <w:jc w:val="both"/>
        <w:rPr>
          <w:rFonts w:ascii="Times New Roman" w:hAnsi="Times New Roman" w:cs="Times New Roman"/>
          <w:color w:val="333333"/>
          <w:sz w:val="28"/>
          <w:szCs w:val="28"/>
          <w:shd w:val="clear" w:color="auto" w:fill="F6F6F6"/>
        </w:rPr>
      </w:pPr>
      <w:r w:rsidRPr="00FE7ACA">
        <w:rPr>
          <w:rFonts w:ascii="Times New Roman" w:hAnsi="Times New Roman" w:cs="Times New Roman"/>
          <w:color w:val="333333"/>
          <w:sz w:val="28"/>
          <w:szCs w:val="28"/>
          <w:shd w:val="clear" w:color="auto" w:fill="F6F6F6"/>
        </w:rPr>
        <w:t xml:space="preserve">Ростовцев, Н. Н. Методика преподавания изобразительного искусства в школе / Н. Н. Ростовцев. — Москва: АГАР, 2000. — 251 с. </w:t>
      </w:r>
    </w:p>
    <w:p w14:paraId="526F4B87" w14:textId="77777777" w:rsidR="00024157" w:rsidRPr="00FE7ACA" w:rsidRDefault="00024157" w:rsidP="00FE7ACA">
      <w:pPr>
        <w:pStyle w:val="a4"/>
        <w:numPr>
          <w:ilvl w:val="0"/>
          <w:numId w:val="1"/>
        </w:numPr>
        <w:shd w:val="clear" w:color="auto" w:fill="FFFFFF" w:themeFill="background1"/>
        <w:spacing w:after="0" w:line="240" w:lineRule="auto"/>
        <w:jc w:val="both"/>
        <w:rPr>
          <w:rFonts w:ascii="Times New Roman" w:hAnsi="Times New Roman" w:cs="Times New Roman"/>
          <w:color w:val="333333"/>
          <w:sz w:val="28"/>
          <w:szCs w:val="28"/>
          <w:shd w:val="clear" w:color="auto" w:fill="F6F6F6"/>
        </w:rPr>
      </w:pPr>
      <w:r w:rsidRPr="00FE7ACA">
        <w:rPr>
          <w:rFonts w:ascii="Times New Roman" w:hAnsi="Times New Roman" w:cs="Times New Roman"/>
          <w:color w:val="333333"/>
          <w:sz w:val="28"/>
          <w:szCs w:val="28"/>
          <w:shd w:val="clear" w:color="auto" w:fill="F6F6F6"/>
        </w:rPr>
        <w:t xml:space="preserve">Смирнов, С. А. Педагогика: </w:t>
      </w:r>
      <w:proofErr w:type="spellStart"/>
      <w:r w:rsidRPr="00FE7ACA">
        <w:rPr>
          <w:rFonts w:ascii="Times New Roman" w:hAnsi="Times New Roman" w:cs="Times New Roman"/>
          <w:color w:val="333333"/>
          <w:sz w:val="28"/>
          <w:szCs w:val="28"/>
          <w:shd w:val="clear" w:color="auto" w:fill="F6F6F6"/>
        </w:rPr>
        <w:t>пед</w:t>
      </w:r>
      <w:proofErr w:type="spellEnd"/>
      <w:r w:rsidRPr="00FE7ACA">
        <w:rPr>
          <w:rFonts w:ascii="Times New Roman" w:hAnsi="Times New Roman" w:cs="Times New Roman"/>
          <w:color w:val="333333"/>
          <w:sz w:val="28"/>
          <w:szCs w:val="28"/>
          <w:shd w:val="clear" w:color="auto" w:fill="F6F6F6"/>
        </w:rPr>
        <w:t xml:space="preserve">. теории, системы, технологии: учебник для студентов высших и средних учеб. </w:t>
      </w:r>
      <w:proofErr w:type="spellStart"/>
      <w:r w:rsidRPr="00FE7ACA">
        <w:rPr>
          <w:rFonts w:ascii="Times New Roman" w:hAnsi="Times New Roman" w:cs="Times New Roman"/>
          <w:color w:val="333333"/>
          <w:sz w:val="28"/>
          <w:szCs w:val="28"/>
          <w:shd w:val="clear" w:color="auto" w:fill="F6F6F6"/>
        </w:rPr>
        <w:t>завед</w:t>
      </w:r>
      <w:proofErr w:type="spellEnd"/>
      <w:r w:rsidRPr="00FE7ACA">
        <w:rPr>
          <w:rFonts w:ascii="Times New Roman" w:hAnsi="Times New Roman" w:cs="Times New Roman"/>
          <w:color w:val="333333"/>
          <w:sz w:val="28"/>
          <w:szCs w:val="28"/>
          <w:shd w:val="clear" w:color="auto" w:fill="F6F6F6"/>
        </w:rPr>
        <w:t>. / С. А. Смирнов, И. Б. Котова, Е. Н. Шиянов. — Москва: Академия, 2004. — 512 с.</w:t>
      </w:r>
    </w:p>
    <w:p w14:paraId="189880DF" w14:textId="77777777" w:rsidR="005B1E9F" w:rsidRPr="00FE7ACA" w:rsidRDefault="00024157" w:rsidP="00FE7ACA">
      <w:pPr>
        <w:pStyle w:val="a4"/>
        <w:numPr>
          <w:ilvl w:val="0"/>
          <w:numId w:val="1"/>
        </w:numPr>
        <w:shd w:val="clear" w:color="auto" w:fill="FFFFFF" w:themeFill="background1"/>
        <w:spacing w:after="0" w:line="240" w:lineRule="auto"/>
        <w:jc w:val="both"/>
        <w:rPr>
          <w:rFonts w:ascii="Times New Roman" w:hAnsi="Times New Roman" w:cs="Times New Roman"/>
          <w:color w:val="333333"/>
          <w:sz w:val="28"/>
          <w:szCs w:val="28"/>
          <w:shd w:val="clear" w:color="auto" w:fill="F6F6F6"/>
        </w:rPr>
      </w:pPr>
      <w:r w:rsidRPr="00FE7ACA">
        <w:rPr>
          <w:rFonts w:ascii="Times New Roman" w:hAnsi="Times New Roman" w:cs="Times New Roman"/>
          <w:color w:val="333333"/>
          <w:sz w:val="28"/>
          <w:szCs w:val="28"/>
          <w:shd w:val="clear" w:color="auto" w:fill="F6F6F6"/>
        </w:rPr>
        <w:t xml:space="preserve">Сокольникова, Н. М. Методика обучения изобразительному искусству: учебник для студ. учреждений </w:t>
      </w:r>
      <w:proofErr w:type="spellStart"/>
      <w:r w:rsidRPr="00FE7ACA">
        <w:rPr>
          <w:rFonts w:ascii="Times New Roman" w:hAnsi="Times New Roman" w:cs="Times New Roman"/>
          <w:color w:val="333333"/>
          <w:sz w:val="28"/>
          <w:szCs w:val="28"/>
          <w:shd w:val="clear" w:color="auto" w:fill="F6F6F6"/>
        </w:rPr>
        <w:t>высш</w:t>
      </w:r>
      <w:proofErr w:type="spellEnd"/>
      <w:r w:rsidRPr="00FE7ACA">
        <w:rPr>
          <w:rFonts w:ascii="Times New Roman" w:hAnsi="Times New Roman" w:cs="Times New Roman"/>
          <w:color w:val="333333"/>
          <w:sz w:val="28"/>
          <w:szCs w:val="28"/>
          <w:shd w:val="clear" w:color="auto" w:fill="F6F6F6"/>
        </w:rPr>
        <w:t>. проф. обр. / Н. М. Сокольникова. — Москва: Академия, 2013. — 336 с</w:t>
      </w:r>
    </w:p>
    <w:p w14:paraId="3C56A1F6" w14:textId="465882E3" w:rsidR="00024157" w:rsidRPr="00FE7ACA" w:rsidRDefault="005B1E9F" w:rsidP="00FE7ACA">
      <w:pPr>
        <w:pStyle w:val="a3"/>
        <w:numPr>
          <w:ilvl w:val="0"/>
          <w:numId w:val="1"/>
        </w:numPr>
        <w:shd w:val="clear" w:color="auto" w:fill="F9FAFA"/>
        <w:spacing w:before="0" w:beforeAutospacing="0" w:after="0" w:afterAutospacing="0"/>
        <w:jc w:val="both"/>
        <w:rPr>
          <w:color w:val="000000"/>
          <w:sz w:val="28"/>
          <w:szCs w:val="28"/>
        </w:rPr>
      </w:pPr>
      <w:r w:rsidRPr="00FE7ACA">
        <w:rPr>
          <w:color w:val="000000"/>
          <w:sz w:val="28"/>
          <w:szCs w:val="28"/>
        </w:rPr>
        <w:t xml:space="preserve">Е.Г. Речицкая, Е.А. </w:t>
      </w:r>
      <w:proofErr w:type="spellStart"/>
      <w:r w:rsidRPr="00FE7ACA">
        <w:rPr>
          <w:color w:val="000000"/>
          <w:sz w:val="28"/>
          <w:szCs w:val="28"/>
        </w:rPr>
        <w:t>Сошина</w:t>
      </w:r>
      <w:proofErr w:type="spellEnd"/>
      <w:r w:rsidRPr="00FE7ACA">
        <w:rPr>
          <w:color w:val="000000"/>
          <w:sz w:val="28"/>
          <w:szCs w:val="28"/>
        </w:rPr>
        <w:t xml:space="preserve"> </w:t>
      </w:r>
      <w:r w:rsidRPr="00FE7ACA">
        <w:rPr>
          <w:color w:val="000000"/>
          <w:sz w:val="28"/>
          <w:szCs w:val="28"/>
        </w:rPr>
        <w:t>На занятиях в свободное от уроков время</w:t>
      </w:r>
      <w:r w:rsidRPr="00FE7ACA">
        <w:rPr>
          <w:color w:val="000000"/>
          <w:sz w:val="28"/>
          <w:szCs w:val="28"/>
        </w:rPr>
        <w:t xml:space="preserve"> </w:t>
      </w:r>
      <w:r w:rsidRPr="00FE7ACA">
        <w:rPr>
          <w:color w:val="000000"/>
          <w:sz w:val="28"/>
          <w:szCs w:val="28"/>
        </w:rPr>
        <w:t>имеются широкие возможности для развития</w:t>
      </w:r>
      <w:r w:rsidRPr="00FE7ACA">
        <w:rPr>
          <w:color w:val="000000"/>
          <w:sz w:val="28"/>
          <w:szCs w:val="28"/>
        </w:rPr>
        <w:t xml:space="preserve"> </w:t>
      </w:r>
      <w:r w:rsidRPr="00FE7ACA">
        <w:rPr>
          <w:color w:val="000000"/>
          <w:sz w:val="28"/>
          <w:szCs w:val="28"/>
        </w:rPr>
        <w:t>творческого воображения школьников.</w:t>
      </w:r>
      <w:r w:rsidRPr="00FE7ACA">
        <w:rPr>
          <w:color w:val="000000"/>
          <w:sz w:val="28"/>
          <w:szCs w:val="28"/>
        </w:rPr>
        <w:t xml:space="preserve"> </w:t>
      </w:r>
      <w:hyperlink r:id="rId5" w:history="1">
        <w:r w:rsidRPr="00FE7ACA">
          <w:rPr>
            <w:rStyle w:val="a5"/>
            <w:sz w:val="28"/>
            <w:szCs w:val="28"/>
          </w:rPr>
          <w:t>https://www.prodlenka.org/metodicheskie-razrabotki/323596-statja-organizacija-vneurochnoj-hudozhestvenn</w:t>
        </w:r>
      </w:hyperlink>
    </w:p>
    <w:p w14:paraId="16B3D459" w14:textId="77777777" w:rsidR="005B1E9F" w:rsidRPr="00FE7ACA" w:rsidRDefault="005B1E9F" w:rsidP="00FE7ACA">
      <w:pPr>
        <w:shd w:val="clear" w:color="auto" w:fill="FFFFFF" w:themeFill="background1"/>
        <w:spacing w:after="0" w:line="240" w:lineRule="auto"/>
        <w:jc w:val="both"/>
        <w:rPr>
          <w:rFonts w:ascii="Times New Roman" w:hAnsi="Times New Roman" w:cs="Times New Roman"/>
          <w:sz w:val="28"/>
          <w:szCs w:val="28"/>
        </w:rPr>
      </w:pPr>
    </w:p>
    <w:p w14:paraId="0F822736" w14:textId="77777777" w:rsidR="00024157" w:rsidRPr="00FE7ACA" w:rsidRDefault="00024157" w:rsidP="00FE7ACA">
      <w:pPr>
        <w:shd w:val="clear" w:color="auto" w:fill="FFFFFF" w:themeFill="background1"/>
        <w:spacing w:after="0" w:line="240" w:lineRule="auto"/>
        <w:jc w:val="both"/>
        <w:rPr>
          <w:rFonts w:ascii="Times New Roman" w:hAnsi="Times New Roman" w:cs="Times New Roman"/>
          <w:sz w:val="28"/>
          <w:szCs w:val="28"/>
        </w:rPr>
      </w:pPr>
    </w:p>
    <w:sectPr w:rsidR="00024157" w:rsidRPr="00FE7A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313511"/>
    <w:multiLevelType w:val="hybridMultilevel"/>
    <w:tmpl w:val="0F22C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57"/>
    <w:rsid w:val="00024157"/>
    <w:rsid w:val="001F3563"/>
    <w:rsid w:val="005B1E9F"/>
    <w:rsid w:val="009677F3"/>
    <w:rsid w:val="00FE7ACA"/>
    <w:rsid w:val="00FF5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1FE5"/>
  <w15:chartTrackingRefBased/>
  <w15:docId w15:val="{038AF1BB-BB67-4A2F-A2E0-73429DAF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1E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B1E9F"/>
    <w:pPr>
      <w:ind w:left="720"/>
      <w:contextualSpacing/>
    </w:pPr>
  </w:style>
  <w:style w:type="character" w:styleId="a5">
    <w:name w:val="Hyperlink"/>
    <w:basedOn w:val="a0"/>
    <w:uiPriority w:val="99"/>
    <w:unhideWhenUsed/>
    <w:rsid w:val="005B1E9F"/>
    <w:rPr>
      <w:color w:val="0563C1" w:themeColor="hyperlink"/>
      <w:u w:val="single"/>
    </w:rPr>
  </w:style>
  <w:style w:type="character" w:styleId="a6">
    <w:name w:val="Unresolved Mention"/>
    <w:basedOn w:val="a0"/>
    <w:uiPriority w:val="99"/>
    <w:semiHidden/>
    <w:unhideWhenUsed/>
    <w:rsid w:val="005B1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221059">
      <w:bodyDiv w:val="1"/>
      <w:marLeft w:val="0"/>
      <w:marRight w:val="0"/>
      <w:marTop w:val="0"/>
      <w:marBottom w:val="0"/>
      <w:divBdr>
        <w:top w:val="none" w:sz="0" w:space="0" w:color="auto"/>
        <w:left w:val="none" w:sz="0" w:space="0" w:color="auto"/>
        <w:bottom w:val="none" w:sz="0" w:space="0" w:color="auto"/>
        <w:right w:val="none" w:sz="0" w:space="0" w:color="auto"/>
      </w:divBdr>
    </w:div>
    <w:div w:id="81503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rodlenka.org/metodicheskie-razrabotki/323596-statja-organizacija-vneurochnoj-hudozhestven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9</Pages>
  <Words>3460</Words>
  <Characters>19726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 dns</dc:creator>
  <cp:keywords/>
  <dc:description/>
  <cp:lastModifiedBy>dns dns</cp:lastModifiedBy>
  <cp:revision>2</cp:revision>
  <dcterms:created xsi:type="dcterms:W3CDTF">2020-12-10T07:09:00Z</dcterms:created>
  <dcterms:modified xsi:type="dcterms:W3CDTF">2020-12-10T08:03:00Z</dcterms:modified>
</cp:coreProperties>
</file>