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A32DFB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государственной власти субъектов РФ</w:t>
      </w:r>
    </w:p>
    <w:p w:rsidR="00235831" w:rsidRPr="00446D0E" w:rsidRDefault="00850E29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235831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>Лекция на тему</w:t>
      </w:r>
    </w:p>
    <w:p w:rsidR="000C136A" w:rsidRPr="00446D0E" w:rsidRDefault="00A32DFB" w:rsidP="00235831">
      <w:pPr>
        <w:jc w:val="center"/>
        <w:rPr>
          <w:rFonts w:ascii="Times New Roman" w:hAnsi="Times New Roman"/>
          <w:b/>
          <w:sz w:val="28"/>
          <w:szCs w:val="28"/>
        </w:rPr>
      </w:pPr>
      <w:r w:rsidRPr="00A32DFB">
        <w:rPr>
          <w:rFonts w:ascii="Times New Roman" w:hAnsi="Times New Roman"/>
          <w:b/>
          <w:sz w:val="28"/>
          <w:szCs w:val="28"/>
        </w:rPr>
        <w:t>Общие принципы организации и деятельности органов государственной власти субъектов Российской Федерации</w:t>
      </w: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Понятие и основные элементы конституционно-правового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Особенности конституционно-правового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Проблемы правового регулирования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Цели и функции регионального управления.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Специфика регионального управления в Забайкальском крае.</w:t>
      </w:r>
    </w:p>
    <w:p w:rsidR="00605D17" w:rsidRPr="00605D17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Система и структура органов государственной власти субъектов Российской Федерации. </w:t>
      </w:r>
    </w:p>
    <w:p w:rsidR="00995DAA" w:rsidRPr="00446D0E" w:rsidRDefault="00605D17" w:rsidP="00605D17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Конституционно-правовой статус Забайкальского края.</w:t>
      </w:r>
    </w:p>
    <w:p w:rsidR="00446D0E" w:rsidRDefault="00446D0E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A32DFB" w:rsidRPr="00446D0E" w:rsidRDefault="00A32DFB" w:rsidP="00A32D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A32DFB" w:rsidRPr="00446D0E" w:rsidRDefault="00A32DFB" w:rsidP="00A32DFB">
      <w:pPr>
        <w:jc w:val="center"/>
        <w:rPr>
          <w:rFonts w:ascii="Times New Roman" w:hAnsi="Times New Roman"/>
          <w:b/>
          <w:sz w:val="28"/>
          <w:szCs w:val="28"/>
        </w:rPr>
      </w:pPr>
      <w:r w:rsidRPr="00A32DFB">
        <w:rPr>
          <w:rFonts w:ascii="Times New Roman" w:hAnsi="Times New Roman"/>
          <w:b/>
          <w:sz w:val="28"/>
          <w:szCs w:val="28"/>
        </w:rPr>
        <w:t>Общие принципы организации и деятельности органов государственной власти субъектов Российской Федерации</w:t>
      </w:r>
    </w:p>
    <w:p w:rsidR="00A32DFB" w:rsidRPr="00446D0E" w:rsidRDefault="00A32DFB" w:rsidP="00A32D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32DFB" w:rsidRPr="00446D0E" w:rsidRDefault="00A32DFB" w:rsidP="00A32DFB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Понятие и основные элементы конституционно-правового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Особенности конституционно-правового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Проблемы правового регулирования статуса субъектов Российской Федерации. 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Цели и функции регионального управления.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Специфика регионального управления в Забайкальском крае.</w:t>
      </w:r>
    </w:p>
    <w:p w:rsidR="00605D17" w:rsidRPr="00605D17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 xml:space="preserve">Система и структура органов государственной власти субъектов Российской Федерации. </w:t>
      </w:r>
    </w:p>
    <w:p w:rsidR="00A32DFB" w:rsidRPr="00446D0E" w:rsidRDefault="00605D17" w:rsidP="00605D17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605D17">
        <w:rPr>
          <w:rFonts w:ascii="Times New Roman" w:hAnsi="Times New Roman"/>
          <w:sz w:val="28"/>
          <w:szCs w:val="28"/>
        </w:rPr>
        <w:t>Конституционно-правовой статус Забайкальского края.</w:t>
      </w:r>
      <w:bookmarkStart w:id="0" w:name="_GoBack"/>
      <w:bookmarkEnd w:id="0"/>
    </w:p>
    <w:p w:rsidR="00A32DFB" w:rsidRDefault="00A32DFB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421C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235831"/>
    <w:rsid w:val="00432CCC"/>
    <w:rsid w:val="00446D0E"/>
    <w:rsid w:val="00605D17"/>
    <w:rsid w:val="007A3D3C"/>
    <w:rsid w:val="00835BF4"/>
    <w:rsid w:val="00850E29"/>
    <w:rsid w:val="008D69A8"/>
    <w:rsid w:val="00947380"/>
    <w:rsid w:val="00967BD5"/>
    <w:rsid w:val="00995DAA"/>
    <w:rsid w:val="00A32DFB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3</cp:revision>
  <dcterms:created xsi:type="dcterms:W3CDTF">2022-02-07T14:09:00Z</dcterms:created>
  <dcterms:modified xsi:type="dcterms:W3CDTF">2022-02-07T14:09:00Z</dcterms:modified>
</cp:coreProperties>
</file>