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1A" w:rsidRPr="00B9231A" w:rsidRDefault="00B9231A" w:rsidP="00B9231A">
      <w:pPr>
        <w:keepNext/>
        <w:widowControl w:val="0"/>
        <w:suppressAutoHyphens/>
        <w:spacing w:after="0" w:line="360" w:lineRule="auto"/>
        <w:ind w:firstLine="709"/>
        <w:jc w:val="center"/>
        <w:outlineLvl w:val="0"/>
        <w:rPr>
          <w:rFonts w:ascii="Times New Roman" w:eastAsia="Droid Sans Fallback" w:hAnsi="Times New Roman" w:cs="Times New Roman"/>
          <w:b/>
          <w:kern w:val="1"/>
          <w:sz w:val="28"/>
          <w:szCs w:val="28"/>
          <w:lang w:val="x-none" w:eastAsia="zh-CN" w:bidi="hi-IN"/>
        </w:rPr>
      </w:pPr>
      <w:bookmarkStart w:id="0" w:name="_Toc433109046"/>
      <w:bookmarkStart w:id="1" w:name="_Toc433109304"/>
      <w:bookmarkStart w:id="2" w:name="_Toc433110478"/>
      <w:r w:rsidRPr="00B9231A">
        <w:rPr>
          <w:rFonts w:ascii="Times New Roman" w:eastAsia="Droid Sans Fallback" w:hAnsi="Times New Roman" w:cs="Times New Roman"/>
          <w:b/>
          <w:kern w:val="1"/>
          <w:sz w:val="28"/>
          <w:szCs w:val="28"/>
          <w:lang w:val="x-none" w:eastAsia="zh-CN" w:bidi="hi-IN"/>
        </w:rPr>
        <w:t>Тестовые задания</w:t>
      </w:r>
      <w:bookmarkEnd w:id="0"/>
      <w:bookmarkEnd w:id="1"/>
      <w:bookmarkEnd w:id="2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К финансовым методам, как важнейшим элементам финансового механизма, относятся: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законы, постановления, инструкции;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планирование, страхование, налогообложение;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инвестирование, кредитование, </w:t>
      </w:r>
      <w:bookmarkStart w:id="3" w:name="_GoBack"/>
      <w:bookmarkEnd w:id="3"/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аренда, факторинг;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финансовая информация.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B92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B923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 </w:t>
      </w: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Финансовая стратегия – это …</w:t>
      </w:r>
      <w:r w:rsidRPr="00B9231A">
        <w:rPr>
          <w:rFonts w:ascii="Times New Roman" w:eastAsia="Calibri" w:hAnsi="Times New Roman" w:cs="Times New Roman"/>
          <w:sz w:val="28"/>
          <w:szCs w:val="28"/>
        </w:rPr>
        <w:br/>
      </w:r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а) долговременный курс финансовой политики, рассчитанный на длительную перспективу и предусматривающий решения крупномасштабных задач;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б) совокупность методов (приемов) достижения поставленной цели на конкретном этапе развития общества;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в) совокупность методов по мобилизации бюджетных средств;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г) экономическая политика по регулированию государственных финансов.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Финансовый контроль – это …</w:t>
      </w:r>
      <w:r w:rsidRPr="00B9231A">
        <w:rPr>
          <w:rFonts w:ascii="Times New Roman" w:eastAsia="Calibri" w:hAnsi="Times New Roman" w:cs="Times New Roman"/>
          <w:sz w:val="28"/>
          <w:szCs w:val="28"/>
        </w:rPr>
        <w:br/>
      </w: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а) совокупность приемов и методов целенаправленного воздействия на объект для достижения определенного </w:t>
      </w:r>
      <w:proofErr w:type="gramStart"/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результата;</w:t>
      </w:r>
      <w:r w:rsidRPr="00B9231A">
        <w:rPr>
          <w:rFonts w:ascii="Times New Roman" w:eastAsia="Calibri" w:hAnsi="Times New Roman" w:cs="Times New Roman"/>
          <w:sz w:val="28"/>
          <w:szCs w:val="28"/>
        </w:rPr>
        <w:br/>
      </w:r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gramEnd"/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б) контроль законодательных и исполнительных органов власти всех уровней, а также специально созданных учреждений за финансовой деятельностью всех экономических субъектов, с применением особых форм и методов его организации;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в) одна из стадий управления финансами;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г) совокупность действий по проверке денежных ресурсов.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4. К основным методам финансового контроля не </w:t>
      </w:r>
      <w:proofErr w:type="gramStart"/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относится:</w:t>
      </w:r>
      <w:r w:rsidRPr="00B9231A">
        <w:rPr>
          <w:rFonts w:ascii="Times New Roman" w:eastAsia="Calibri" w:hAnsi="Times New Roman" w:cs="Times New Roman"/>
          <w:sz w:val="28"/>
          <w:szCs w:val="28"/>
        </w:rPr>
        <w:br/>
      </w: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а) ревизия;  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б) проверка счетов;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в) социологическое исследование;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г) экономический анализ.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5. В состав государственных и муниципальных финансов входят…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а) федеральный бюджет и 85 субфедеральных бюджетов;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б) бюджеты разных уровней государственного управления и государственный кредит;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в) государственные внебюджетные фонды, бюджеты разных уровней государственного управления, государственный кредит;</w:t>
      </w:r>
      <w:r w:rsidRPr="00B923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г) государственные внебюджетные фонды, бюджеты разных уровней государственного управления.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 Бюджетная система РФ состоит из бюджетов …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а) трех уровней;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б) двух уровней;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в) одного уровня;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г) субъектов РФ и местного самоуправления.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7. </w:t>
      </w: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уровень бюджетной системы РФ включает ...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бюджеты субъектов РФ (региональные бюджеты) и бюджеты территориальных государственных внебюджетных фондов;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федеральный бюджет и бюджеты государственных внебюджетных фондов;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местные бюджеты;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федеральный бюджет.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8. </w:t>
      </w: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 – это…</w:t>
      </w:r>
    </w:p>
    <w:p w:rsidR="00B9231A" w:rsidRPr="00B9231A" w:rsidRDefault="00B9231A" w:rsidP="00B9231A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система денежных отношений;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деньги;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система кредитования. 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9.</w:t>
      </w:r>
      <w:r w:rsidRPr="00B9231A">
        <w:rPr>
          <w:rFonts w:ascii="Arial" w:eastAsia="Calibri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Основными видами доходов бюджетов являются …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а) доходы хозяйствующих субъектов различных форм собственности;</w:t>
      </w:r>
      <w:r w:rsidRPr="00B923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б) налоговые, неналоговые доходы и безвозмездные поступления;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в) регулирующие и закрепленные налоги;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г) дотации, субвенции, субсидии, кредитные ресурсы.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10.</w:t>
      </w:r>
      <w:r w:rsidRPr="00B923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Отношения, характеризующие финансы как экономическую категорию: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а) возникающие на стадии потребления общественного продукта;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б) денежные;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в) регулируемые государством;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г) товарные;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B923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д) </w:t>
      </w:r>
      <w:r w:rsidRPr="00B9231A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распределительные</w:t>
      </w:r>
      <w:proofErr w:type="gramEnd"/>
      <w:r w:rsidRPr="00B9231A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 Что из представленного ниже относится к собственным финансовым ресурсам организации: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капитализированная чистая прибыль;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средства внешних инвесторов, выступающие в качестве заемного капитала;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доходы от основной деятельности.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Общая стоимость капитала ОАО «Механика» составляет 2,5 млрд руб. Стоимость долгосрочного кредита по данным формы № 1 «Бухгалтерский баланс» – 1,5 млрд руб., объем кредиторской задолженности – 584 млн. руб. Определить стоимость собственного капитала ОАО «Механика»: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4" w:name="_Toc433109047"/>
      <w:bookmarkStart w:id="5" w:name="_Toc433109305"/>
      <w:r w:rsidRPr="00B9231A">
        <w:rPr>
          <w:rFonts w:ascii="Times New Roman" w:eastAsia="Calibri" w:hAnsi="Times New Roman" w:cs="Times New Roman"/>
          <w:sz w:val="28"/>
          <w:lang w:eastAsia="ru-RU"/>
        </w:rPr>
        <w:t>а) 416 тыс. руб.;</w:t>
      </w:r>
      <w:bookmarkEnd w:id="4"/>
      <w:bookmarkEnd w:id="5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6" w:name="_Toc433109048"/>
      <w:bookmarkStart w:id="7" w:name="_Toc433109306"/>
      <w:r w:rsidRPr="00B9231A">
        <w:rPr>
          <w:rFonts w:ascii="Times New Roman" w:eastAsia="Calibri" w:hAnsi="Times New Roman" w:cs="Times New Roman"/>
          <w:sz w:val="28"/>
          <w:lang w:eastAsia="ru-RU"/>
        </w:rPr>
        <w:t>б) 4584 тыс. руб.;</w:t>
      </w:r>
      <w:bookmarkEnd w:id="6"/>
      <w:bookmarkEnd w:id="7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8" w:name="_Toc433109049"/>
      <w:bookmarkStart w:id="9" w:name="_Toc433109307"/>
      <w:r w:rsidRPr="00B9231A">
        <w:rPr>
          <w:rFonts w:ascii="Times New Roman" w:eastAsia="Calibri" w:hAnsi="Times New Roman" w:cs="Times New Roman"/>
          <w:sz w:val="28"/>
          <w:lang w:eastAsia="ru-RU"/>
        </w:rPr>
        <w:t>в) 1916 тыс. руб.</w:t>
      </w:r>
      <w:bookmarkEnd w:id="8"/>
      <w:bookmarkEnd w:id="9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10" w:name="_Toc433109050"/>
      <w:bookmarkStart w:id="11" w:name="_Toc433109308"/>
      <w:r w:rsidRPr="00B9231A">
        <w:rPr>
          <w:rFonts w:ascii="Times New Roman" w:eastAsia="Calibri" w:hAnsi="Times New Roman" w:cs="Times New Roman"/>
          <w:sz w:val="28"/>
          <w:lang w:eastAsia="ru-RU"/>
        </w:rPr>
        <w:t>13. Что относится к переменной части собственного капитала организации:</w:t>
      </w:r>
      <w:bookmarkEnd w:id="10"/>
      <w:bookmarkEnd w:id="11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12" w:name="_Toc433109051"/>
      <w:bookmarkStart w:id="13" w:name="_Toc433109309"/>
      <w:r w:rsidRPr="00B9231A">
        <w:rPr>
          <w:rFonts w:ascii="Times New Roman" w:eastAsia="Calibri" w:hAnsi="Times New Roman" w:cs="Times New Roman"/>
          <w:sz w:val="28"/>
          <w:lang w:eastAsia="ru-RU"/>
        </w:rPr>
        <w:t>а) резервный капитал;</w:t>
      </w:r>
      <w:bookmarkEnd w:id="12"/>
      <w:bookmarkEnd w:id="13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14" w:name="_Toc433109052"/>
      <w:bookmarkStart w:id="15" w:name="_Toc433109310"/>
      <w:r w:rsidRPr="00B9231A">
        <w:rPr>
          <w:rFonts w:ascii="Times New Roman" w:eastAsia="Calibri" w:hAnsi="Times New Roman" w:cs="Times New Roman"/>
          <w:sz w:val="28"/>
          <w:lang w:eastAsia="ru-RU"/>
        </w:rPr>
        <w:t>б) уставный капитал;</w:t>
      </w:r>
      <w:bookmarkEnd w:id="14"/>
      <w:bookmarkEnd w:id="15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16" w:name="_Toc433109053"/>
      <w:bookmarkStart w:id="17" w:name="_Toc433109311"/>
      <w:r w:rsidRPr="00B9231A">
        <w:rPr>
          <w:rFonts w:ascii="Times New Roman" w:eastAsia="Calibri" w:hAnsi="Times New Roman" w:cs="Times New Roman"/>
          <w:sz w:val="28"/>
          <w:lang w:eastAsia="ru-RU"/>
        </w:rPr>
        <w:t>в) паевые взносы участников общества.</w:t>
      </w:r>
      <w:bookmarkEnd w:id="16"/>
      <w:bookmarkEnd w:id="17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18" w:name="_Toc433109054"/>
      <w:bookmarkStart w:id="19" w:name="_Toc433109312"/>
      <w:r w:rsidRPr="00B9231A">
        <w:rPr>
          <w:rFonts w:ascii="Times New Roman" w:eastAsia="Calibri" w:hAnsi="Times New Roman" w:cs="Times New Roman"/>
          <w:sz w:val="28"/>
          <w:lang w:eastAsia="ru-RU"/>
        </w:rPr>
        <w:t>14. Как образуется резервный капитал:</w:t>
      </w:r>
      <w:bookmarkEnd w:id="18"/>
      <w:bookmarkEnd w:id="19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20" w:name="_Toc433109055"/>
      <w:bookmarkStart w:id="21" w:name="_Toc433109313"/>
      <w:r w:rsidRPr="00B9231A">
        <w:rPr>
          <w:rFonts w:ascii="Times New Roman" w:eastAsia="Calibri" w:hAnsi="Times New Roman" w:cs="Times New Roman"/>
          <w:sz w:val="28"/>
          <w:lang w:eastAsia="ru-RU"/>
        </w:rPr>
        <w:t>а) в виде отчислений от чистой прибыли предприятия;</w:t>
      </w:r>
      <w:bookmarkEnd w:id="20"/>
      <w:bookmarkEnd w:id="21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22" w:name="_Toc433109056"/>
      <w:bookmarkStart w:id="23" w:name="_Toc433109314"/>
      <w:r w:rsidRPr="00B9231A">
        <w:rPr>
          <w:rFonts w:ascii="Times New Roman" w:eastAsia="Calibri" w:hAnsi="Times New Roman" w:cs="Times New Roman"/>
          <w:sz w:val="28"/>
          <w:lang w:eastAsia="ru-RU"/>
        </w:rPr>
        <w:t>б) за счет вкладов учредителей;</w:t>
      </w:r>
      <w:bookmarkEnd w:id="22"/>
      <w:bookmarkEnd w:id="23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24" w:name="_Toc433109057"/>
      <w:bookmarkStart w:id="25" w:name="_Toc433109315"/>
      <w:r w:rsidRPr="00B9231A">
        <w:rPr>
          <w:rFonts w:ascii="Times New Roman" w:eastAsia="Calibri" w:hAnsi="Times New Roman" w:cs="Times New Roman"/>
          <w:sz w:val="28"/>
          <w:lang w:eastAsia="ru-RU"/>
        </w:rPr>
        <w:t>в) за счет эмиссионного дохода.</w:t>
      </w:r>
      <w:bookmarkEnd w:id="24"/>
      <w:bookmarkEnd w:id="25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26" w:name="_Toc433109058"/>
      <w:bookmarkStart w:id="27" w:name="_Toc433109316"/>
      <w:r w:rsidRPr="00B9231A">
        <w:rPr>
          <w:rFonts w:ascii="Times New Roman" w:eastAsia="Calibri" w:hAnsi="Times New Roman" w:cs="Times New Roman"/>
          <w:sz w:val="28"/>
          <w:lang w:eastAsia="ru-RU"/>
        </w:rPr>
        <w:lastRenderedPageBreak/>
        <w:t>15. Что не является источником наращения собственного капитала предприятия:</w:t>
      </w:r>
      <w:bookmarkEnd w:id="26"/>
      <w:bookmarkEnd w:id="27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28" w:name="_Toc433109059"/>
      <w:bookmarkStart w:id="29" w:name="_Toc433109317"/>
      <w:r w:rsidRPr="00B9231A">
        <w:rPr>
          <w:rFonts w:ascii="Times New Roman" w:eastAsia="Calibri" w:hAnsi="Times New Roman" w:cs="Times New Roman"/>
          <w:sz w:val="28"/>
          <w:lang w:eastAsia="ru-RU"/>
        </w:rPr>
        <w:t>а) не погашенная в срок кредиторская задолженность, по которой не истек срок исковой давности;</w:t>
      </w:r>
      <w:bookmarkEnd w:id="28"/>
      <w:bookmarkEnd w:id="29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30" w:name="_Toc433109060"/>
      <w:bookmarkStart w:id="31" w:name="_Toc433109318"/>
      <w:r w:rsidRPr="00B9231A">
        <w:rPr>
          <w:rFonts w:ascii="Times New Roman" w:eastAsia="Calibri" w:hAnsi="Times New Roman" w:cs="Times New Roman"/>
          <w:sz w:val="28"/>
          <w:lang w:eastAsia="ru-RU"/>
        </w:rPr>
        <w:t>б) дополнительная эмиссия акций;</w:t>
      </w:r>
      <w:bookmarkEnd w:id="30"/>
      <w:bookmarkEnd w:id="31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32" w:name="_Toc433109061"/>
      <w:bookmarkStart w:id="33" w:name="_Toc433109319"/>
      <w:r w:rsidRPr="00B9231A">
        <w:rPr>
          <w:rFonts w:ascii="Times New Roman" w:eastAsia="Calibri" w:hAnsi="Times New Roman" w:cs="Times New Roman"/>
          <w:sz w:val="28"/>
          <w:lang w:eastAsia="ru-RU"/>
        </w:rPr>
        <w:t>в) переоценка стоимости имущества в сторону его увеличения.</w:t>
      </w:r>
      <w:bookmarkEnd w:id="32"/>
      <w:bookmarkEnd w:id="33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34" w:name="_Toc433109062"/>
      <w:bookmarkStart w:id="35" w:name="_Toc433109320"/>
      <w:r w:rsidRPr="00B9231A">
        <w:rPr>
          <w:rFonts w:ascii="Times New Roman" w:eastAsia="Calibri" w:hAnsi="Times New Roman" w:cs="Times New Roman"/>
          <w:sz w:val="28"/>
          <w:lang w:eastAsia="ru-RU"/>
        </w:rPr>
        <w:t>16. Как называется стоимость основных фондов предприятия с учетом морального износа и переоценки:</w:t>
      </w:r>
      <w:bookmarkEnd w:id="34"/>
      <w:bookmarkEnd w:id="35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36" w:name="_Toc433109063"/>
      <w:bookmarkStart w:id="37" w:name="_Toc433109321"/>
      <w:r w:rsidRPr="00B9231A">
        <w:rPr>
          <w:rFonts w:ascii="Times New Roman" w:eastAsia="Calibri" w:hAnsi="Times New Roman" w:cs="Times New Roman"/>
          <w:sz w:val="28"/>
          <w:lang w:eastAsia="ru-RU"/>
        </w:rPr>
        <w:t>а) первоначальная стоимость объекта;</w:t>
      </w:r>
      <w:bookmarkEnd w:id="36"/>
      <w:bookmarkEnd w:id="37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38" w:name="_Toc433109064"/>
      <w:bookmarkStart w:id="39" w:name="_Toc433109322"/>
      <w:r w:rsidRPr="00B9231A">
        <w:rPr>
          <w:rFonts w:ascii="Times New Roman" w:eastAsia="Calibri" w:hAnsi="Times New Roman" w:cs="Times New Roman"/>
          <w:sz w:val="28"/>
          <w:lang w:eastAsia="ru-RU"/>
        </w:rPr>
        <w:t>б) остаточная стоимость объекта;</w:t>
      </w:r>
      <w:bookmarkEnd w:id="38"/>
      <w:bookmarkEnd w:id="39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40" w:name="_Toc433109065"/>
      <w:bookmarkStart w:id="41" w:name="_Toc433109323"/>
      <w:r w:rsidRPr="00B9231A">
        <w:rPr>
          <w:rFonts w:ascii="Times New Roman" w:eastAsia="Calibri" w:hAnsi="Times New Roman" w:cs="Times New Roman"/>
          <w:sz w:val="28"/>
          <w:lang w:eastAsia="ru-RU"/>
        </w:rPr>
        <w:t>в) восстановительная стоимость объекта.</w:t>
      </w:r>
      <w:bookmarkEnd w:id="40"/>
      <w:bookmarkEnd w:id="41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42" w:name="_Toc433109066"/>
      <w:bookmarkStart w:id="43" w:name="_Toc433109324"/>
      <w:r w:rsidRPr="00B9231A">
        <w:rPr>
          <w:rFonts w:ascii="Times New Roman" w:eastAsia="Calibri" w:hAnsi="Times New Roman" w:cs="Times New Roman"/>
          <w:sz w:val="28"/>
          <w:lang w:eastAsia="ru-RU"/>
        </w:rPr>
        <w:t>17. К основным фондам относятся:</w:t>
      </w:r>
      <w:bookmarkEnd w:id="42"/>
      <w:bookmarkEnd w:id="43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44" w:name="_Toc433109067"/>
      <w:bookmarkStart w:id="45" w:name="_Toc433109325"/>
      <w:r w:rsidRPr="00B9231A">
        <w:rPr>
          <w:rFonts w:ascii="Times New Roman" w:eastAsia="Calibri" w:hAnsi="Times New Roman" w:cs="Times New Roman"/>
          <w:sz w:val="28"/>
          <w:lang w:eastAsia="ru-RU"/>
        </w:rPr>
        <w:t>а) материальные ценности, используемые в качестве средств труда при производстве продукции, выполнении работ, оказании услуг, которые функционируют в течение длительного периода времени (более одного года);</w:t>
      </w:r>
      <w:bookmarkEnd w:id="44"/>
      <w:bookmarkEnd w:id="45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46" w:name="_Toc433109068"/>
      <w:bookmarkStart w:id="47" w:name="_Toc433109326"/>
      <w:r w:rsidRPr="00B9231A">
        <w:rPr>
          <w:rFonts w:ascii="Times New Roman" w:eastAsia="Calibri" w:hAnsi="Times New Roman" w:cs="Times New Roman"/>
          <w:sz w:val="28"/>
          <w:lang w:eastAsia="ru-RU"/>
        </w:rPr>
        <w:t>б) материальные ценности, используемые в качестве предметов труда при производстве продукции, выполнении работ, оказании услуг, которые полностью переносят свою стоимость на изготовленный с их помощью продукт;</w:t>
      </w:r>
      <w:bookmarkEnd w:id="46"/>
      <w:bookmarkEnd w:id="47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bookmarkStart w:id="48" w:name="_Toc433109069"/>
      <w:bookmarkStart w:id="49" w:name="_Toc433109327"/>
      <w:r w:rsidRPr="00B9231A">
        <w:rPr>
          <w:rFonts w:ascii="Times New Roman" w:eastAsia="Calibri" w:hAnsi="Times New Roman" w:cs="Times New Roman"/>
          <w:sz w:val="28"/>
          <w:lang w:eastAsia="ru-RU"/>
        </w:rPr>
        <w:t>в) материальные ценности со сроком службы менее одного года и стоимостью менее 20 тыс. руб.</w:t>
      </w:r>
      <w:bookmarkEnd w:id="48"/>
      <w:bookmarkEnd w:id="49"/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231A">
        <w:rPr>
          <w:rFonts w:ascii="Times New Roman" w:eastAsia="Calibri" w:hAnsi="Times New Roman" w:cs="Times New Roman"/>
          <w:sz w:val="28"/>
          <w:lang w:eastAsia="ru-RU"/>
        </w:rPr>
        <w:t>18. Что предполагает процесс нормирования на предприятии: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B9231A">
        <w:rPr>
          <w:rFonts w:ascii="Times New Roman" w:eastAsia="Calibri" w:hAnsi="Times New Roman" w:cs="Times New Roman"/>
          <w:sz w:val="28"/>
          <w:lang w:eastAsia="ru-RU"/>
        </w:rPr>
        <w:t>а) вложение средств с целью получения дохода;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необходимого объема оборотных производственных фондов для их расходования в соответствии с планируемыми объемами производства и реализации продукции;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установление уровня готовности предприятия для проведения расчетов, погашения долговых обязательств.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19. Какие оборотные активы относятся к нормируемым: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приток средств от покупателей;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незавершенное производство;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дебиторская задолженность.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Какие оборотные средства по уровню ликвидности относятся к </w:t>
      </w:r>
      <w:proofErr w:type="spellStart"/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медленнореализуемым</w:t>
      </w:r>
      <w:proofErr w:type="spellEnd"/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полуфабрикаты собственного изготовления;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товары, приобретенные с целью перепродажи;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дебиторская задолженность (за исключением сомнительной, просроченной).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21. Какой из представленных ниже методов нормирования используется в стабильных условиях работы предприятия, когда не предвидятся изменения объемов производства и реализации продукции: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метод прямого счета;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аналитический метод;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коэффициентный метод.</w:t>
      </w:r>
    </w:p>
    <w:p w:rsidR="00B9231A" w:rsidRPr="00B9231A" w:rsidRDefault="00B9231A" w:rsidP="00B9231A">
      <w:pPr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22. Функциями страхования являются: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страховая;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предупредительная;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денежная;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г) воспроизводственная.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23. Страховая компания – это: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страховщик;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страхователь;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застрахованный;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г) все ответы веры.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24. Видом страхования являются: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страхование ответственности;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страхование имущества;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страхование резервов;</w:t>
      </w:r>
    </w:p>
    <w:p w:rsidR="00B9231A" w:rsidRPr="00B9231A" w:rsidRDefault="00B9231A" w:rsidP="00B9231A">
      <w:pPr>
        <w:tabs>
          <w:tab w:val="num" w:pos="-180"/>
          <w:tab w:val="left" w:pos="360"/>
          <w:tab w:val="left" w:pos="1650"/>
          <w:tab w:val="left" w:pos="3240"/>
          <w:tab w:val="left" w:pos="559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г) страхование рисков.</w:t>
      </w:r>
    </w:p>
    <w:p w:rsidR="00B9231A" w:rsidRPr="00B9231A" w:rsidRDefault="00B9231A" w:rsidP="00B9231A">
      <w:pPr>
        <w:shd w:val="clear" w:color="auto" w:fill="FFFFFF"/>
        <w:tabs>
          <w:tab w:val="num" w:pos="-18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25. </w:t>
      </w: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Имущественное страхование обеспечивает возмещение убытков:</w:t>
      </w:r>
    </w:p>
    <w:p w:rsidR="00B9231A" w:rsidRPr="00B9231A" w:rsidRDefault="00B9231A" w:rsidP="00B9231A">
      <w:pPr>
        <w:shd w:val="clear" w:color="auto" w:fill="FFFFFF"/>
        <w:tabs>
          <w:tab w:val="num" w:pos="-18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lastRenderedPageBreak/>
        <w:t>а) связанных с болезнью застрахованного;</w:t>
      </w:r>
    </w:p>
    <w:p w:rsidR="00B9231A" w:rsidRPr="00B9231A" w:rsidRDefault="00B9231A" w:rsidP="00B9231A">
      <w:pPr>
        <w:shd w:val="clear" w:color="auto" w:fill="FFFFFF"/>
        <w:tabs>
          <w:tab w:val="num" w:pos="-18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б) при наступлении смерти;</w:t>
      </w:r>
    </w:p>
    <w:p w:rsidR="00B9231A" w:rsidRPr="00B9231A" w:rsidRDefault="00B9231A" w:rsidP="00B9231A">
      <w:pPr>
        <w:shd w:val="clear" w:color="auto" w:fill="FFFFFF"/>
        <w:tabs>
          <w:tab w:val="num" w:pos="-18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в) связанных с утратой материальных благ;</w:t>
      </w:r>
    </w:p>
    <w:p w:rsidR="00B9231A" w:rsidRPr="00B9231A" w:rsidRDefault="00B9231A" w:rsidP="00B9231A">
      <w:pPr>
        <w:shd w:val="clear" w:color="auto" w:fill="FFFFFF"/>
        <w:tabs>
          <w:tab w:val="num" w:pos="-18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г) в случае увечья.</w:t>
      </w:r>
    </w:p>
    <w:p w:rsidR="00B9231A" w:rsidRPr="00B9231A" w:rsidRDefault="00B9231A" w:rsidP="00B9231A">
      <w:pPr>
        <w:shd w:val="clear" w:color="auto" w:fill="FFFFFF"/>
        <w:tabs>
          <w:tab w:val="num" w:pos="-18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26. Системное изложение страховых тарифов называется:</w:t>
      </w:r>
    </w:p>
    <w:p w:rsidR="00B9231A" w:rsidRPr="00B9231A" w:rsidRDefault="00B9231A" w:rsidP="00B9231A">
      <w:pPr>
        <w:shd w:val="clear" w:color="auto" w:fill="FFFFFF"/>
        <w:tabs>
          <w:tab w:val="num" w:pos="-18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а) тарифной ставки;</w:t>
      </w:r>
    </w:p>
    <w:p w:rsidR="00B9231A" w:rsidRPr="00B9231A" w:rsidRDefault="00B9231A" w:rsidP="00B9231A">
      <w:pPr>
        <w:shd w:val="clear" w:color="auto" w:fill="FFFFFF"/>
        <w:tabs>
          <w:tab w:val="num" w:pos="-18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б) актуарными расчетами;</w:t>
      </w:r>
    </w:p>
    <w:p w:rsidR="00B9231A" w:rsidRPr="00B9231A" w:rsidRDefault="00B9231A" w:rsidP="00B9231A">
      <w:pPr>
        <w:shd w:val="clear" w:color="auto" w:fill="FFFFFF"/>
        <w:tabs>
          <w:tab w:val="num" w:pos="-18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в) тарифным руководством;</w:t>
      </w:r>
    </w:p>
    <w:p w:rsidR="00B9231A" w:rsidRPr="00B9231A" w:rsidRDefault="00B9231A" w:rsidP="00B9231A">
      <w:pPr>
        <w:shd w:val="clear" w:color="auto" w:fill="FFFFFF"/>
        <w:tabs>
          <w:tab w:val="num" w:pos="-18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г) страховой калькуляцией.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27. Добровольным является страхование: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а) медицинских расходов;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б) жизни;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в) противопожарное;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г) военнослужащих.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28. Страхование от несчастных случаев относится к страхованию: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а) имущественному;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б) ответственности;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в) личному;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г) предпринимательских рисков.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29. Специалиста по разработке страховых тарифов называют: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а) актуарием;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б) </w:t>
      </w:r>
      <w:proofErr w:type="spellStart"/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таксометристом</w:t>
      </w:r>
      <w:proofErr w:type="spellEnd"/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в) диспашером;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г) андеррайтером.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30. Гражданская ответственность по возмещению имущественного вреда потерпевшему через заключение договора страхования  возлагается на: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а) выгодоприобретателя;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б) страховщика;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в) страхователя;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г) застрахованного.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lastRenderedPageBreak/>
        <w:t>31.  Реализованная возможность причинения ущерба объекту страхования – это: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а) страховой случай;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б) страховой факт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в) страховое происшествие;</w:t>
      </w:r>
    </w:p>
    <w:p w:rsidR="00B9231A" w:rsidRPr="00B9231A" w:rsidRDefault="00B9231A" w:rsidP="00B923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B9231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г) страховое событие.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32. Что такое финансы домашних хозяйств?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совокупность денежных расходов и доходов домашних хозяйств;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денежные средства домашних хозяйств;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домашнее имущество;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г) денежные фонды;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д) выручка, за вычетом материальных затрат.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33. Каков материальный источник финансовых ресурсов домашних хозяйств?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доходы страны;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материальные богатства страны;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национальное богатство, ВВП;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г) доходы домашних хозяйств.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34. Какие денежные фонды создаются в рамках финансовых ресурсов домашних хозяйств?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фонд потребления и фонд сбережения;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Пенсионный фонд РФ;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фонд социального страхования;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 xml:space="preserve">г) валютный фонд. 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35. Каковы источники доходов домашних хозяйств?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только оплата труда;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 xml:space="preserve">б) только доходы от </w:t>
      </w:r>
      <w:proofErr w:type="gramStart"/>
      <w:r w:rsidRPr="00B9231A">
        <w:rPr>
          <w:rFonts w:ascii="Times New Roman" w:eastAsia="Calibri" w:hAnsi="Times New Roman" w:cs="Times New Roman"/>
          <w:sz w:val="28"/>
          <w:szCs w:val="28"/>
        </w:rPr>
        <w:t>предпринимательской  деятельности</w:t>
      </w:r>
      <w:proofErr w:type="gramEnd"/>
      <w:r w:rsidRPr="00B923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Только государственные социальные выплаты;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г) оплата труда, доходы от предпринимательской, деятельности государственные социальные выплаты.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lastRenderedPageBreak/>
        <w:t>36. Что относится к трансфертам населения?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оплата труда;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проценты по вкладам в коммерческих банках;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пенсии и внебюджетные социальные фонды;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г) денежные отношения меду резидентами.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37. Какие добровольные платежи производят домашние хозяйства?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страховые взносы в негосударственные пенсионные фонды;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налоги;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страховые взносы в государственные внебюджетные фонды;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 xml:space="preserve">г) сберегательные накопления. 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38. Какой налог платят домашние хозяйства?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налог на имущество организаций;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налог на прибыль;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налог на доходы кредитных учреждений;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г) налог на доходы физических лиц.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39. Какие расходы преобладают в расходах населения?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на отдых;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на питание;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сбережения;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г) на образование;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 xml:space="preserve">д) на одежду. 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40. Какие доходы преобладают в доходах домохозяйств?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натуральные доходы;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доходы от предпринимательской деятельности;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социальные трансферты государства;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г) оплата труда.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41. Что включает в себя финансовый план домашнего хозяйства?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а) прогноз доходов;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б) структура основных средств;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t>в) период исполнения;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3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г) структура расходов.  </w:t>
      </w: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31A" w:rsidRPr="00B9231A" w:rsidRDefault="00B9231A" w:rsidP="00B92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D8C" w:rsidRDefault="00366D8C" w:rsidP="00B9231A">
      <w:pPr>
        <w:spacing w:after="0" w:line="360" w:lineRule="auto"/>
        <w:ind w:firstLine="709"/>
      </w:pPr>
    </w:p>
    <w:sectPr w:rsidR="0036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C"/>
    <w:rsid w:val="00366D8C"/>
    <w:rsid w:val="00805408"/>
    <w:rsid w:val="00B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86C9E-568A-4A68-ADCC-D47A4E36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1</cp:revision>
  <dcterms:created xsi:type="dcterms:W3CDTF">2020-05-20T03:35:00Z</dcterms:created>
  <dcterms:modified xsi:type="dcterms:W3CDTF">2020-05-20T04:35:00Z</dcterms:modified>
</cp:coreProperties>
</file>