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240" w:rsidRDefault="00516240" w:rsidP="00516240">
      <w:pPr>
        <w:spacing w:after="0" w:line="240" w:lineRule="auto"/>
        <w:ind w:left="720"/>
        <w:jc w:val="center"/>
        <w:rPr>
          <w:rFonts w:ascii="Times New Roman" w:hAnsi="Times New Roman"/>
          <w:b/>
          <w:sz w:val="24"/>
          <w:szCs w:val="24"/>
        </w:rPr>
      </w:pPr>
      <w:r>
        <w:rPr>
          <w:rFonts w:ascii="Times New Roman" w:hAnsi="Times New Roman"/>
          <w:b/>
          <w:sz w:val="24"/>
          <w:szCs w:val="24"/>
        </w:rPr>
        <w:t>Вопросы к зачету.</w:t>
      </w:r>
    </w:p>
    <w:p w:rsidR="00516240" w:rsidRDefault="00516240" w:rsidP="00516240">
      <w:pPr>
        <w:pStyle w:val="a5"/>
        <w:spacing w:after="0"/>
        <w:ind w:left="390"/>
        <w:jc w:val="both"/>
        <w:rPr>
          <w:b/>
          <w:i/>
          <w:color w:val="000000" w:themeColor="text1"/>
          <w:sz w:val="24"/>
          <w:szCs w:val="24"/>
          <w:lang w:eastAsia="zh-CN"/>
        </w:rPr>
      </w:pPr>
      <w:r>
        <w:rPr>
          <w:b/>
          <w:bCs/>
          <w:i/>
          <w:color w:val="000000" w:themeColor="text1"/>
          <w:sz w:val="24"/>
          <w:szCs w:val="24"/>
          <w:lang w:eastAsia="zh-CN"/>
        </w:rPr>
        <w:t xml:space="preserve">Перечень теоретических вопросов </w:t>
      </w:r>
      <w:r>
        <w:rPr>
          <w:b/>
          <w:i/>
          <w:color w:val="000000" w:themeColor="text1"/>
          <w:sz w:val="24"/>
          <w:szCs w:val="24"/>
          <w:lang w:eastAsia="zh-CN"/>
        </w:rPr>
        <w:t>(для оценки знаний):</w:t>
      </w:r>
    </w:p>
    <w:p w:rsidR="00516240" w:rsidRDefault="00516240" w:rsidP="00516240">
      <w:pPr>
        <w:spacing w:after="0" w:line="240" w:lineRule="auto"/>
        <w:ind w:left="720"/>
        <w:jc w:val="center"/>
        <w:rPr>
          <w:rFonts w:ascii="Times New Roman" w:hAnsi="Times New Roman"/>
          <w:sz w:val="24"/>
          <w:szCs w:val="24"/>
        </w:rPr>
      </w:pP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Понятие технологии управления.</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Подходы отечественных и зарубежных авторов к трактовке технологии управления.</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Специфика технологии государственного управления.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Отличительные особенности технологии муниципального управления.</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Современные технологии управления в ведущих странах мира.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Сравнительный анализ технологий управления в зарубежных странах и РФ.</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Особенности государственного строя Великобритании и Северной Ирландии.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Общая характеристика административного аппарата Великобритании.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Правовое положение личности в Великобритании.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Политические партии и партийная система.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Правовой статус монарха Великобритании и Северной Ирландии.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Общая характеристика парламента в Великобритании.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Общая характеристика правительства Великобритании.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Общая характеристика судебной системы Великобритании.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Местное управление Великобритании.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Государственная служба Великобритании.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Особенности государственного строя США.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Общая характеристика Конституции США.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Права и свободы человека и гражданина в США.</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Политические партии и партийная система США. Избирательная система США.</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Конгресс США.</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Президент США. Исполнительная власть в США.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Судебная система в США.</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Региональное управление в США.</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Местное управление в США.</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Государственная служба в США.</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Особенности государственного строя Франции.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Общая характеристика Конституции Франции.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Политические партии и партийная система Франции. Избирательная система Франции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Президент Франции.</w:t>
      </w:r>
    </w:p>
    <w:p w:rsidR="00516240" w:rsidRDefault="00516240" w:rsidP="00516240">
      <w:pPr>
        <w:pStyle w:val="a5"/>
        <w:spacing w:after="0"/>
        <w:ind w:left="720"/>
        <w:jc w:val="both"/>
        <w:rPr>
          <w:b/>
          <w:i/>
          <w:color w:val="000000" w:themeColor="text1"/>
          <w:sz w:val="24"/>
          <w:szCs w:val="24"/>
          <w:lang w:eastAsia="zh-CN"/>
        </w:rPr>
      </w:pPr>
      <w:r>
        <w:rPr>
          <w:b/>
          <w:bCs/>
          <w:i/>
          <w:color w:val="000000" w:themeColor="text1"/>
          <w:sz w:val="24"/>
          <w:szCs w:val="24"/>
          <w:lang w:eastAsia="zh-CN"/>
        </w:rPr>
        <w:t xml:space="preserve">Перечень типовых задач </w:t>
      </w:r>
      <w:r>
        <w:rPr>
          <w:b/>
          <w:i/>
          <w:color w:val="000000" w:themeColor="text1"/>
          <w:sz w:val="24"/>
          <w:szCs w:val="24"/>
          <w:lang w:eastAsia="zh-CN"/>
        </w:rPr>
        <w:t>(для оценки умений):</w:t>
      </w:r>
    </w:p>
    <w:p w:rsidR="00516240" w:rsidRDefault="00516240" w:rsidP="00516240">
      <w:pPr>
        <w:spacing w:after="0" w:line="240" w:lineRule="auto"/>
        <w:ind w:left="720"/>
        <w:jc w:val="both"/>
        <w:rPr>
          <w:rFonts w:ascii="Times New Roman" w:hAnsi="Times New Roman"/>
          <w:sz w:val="24"/>
          <w:szCs w:val="24"/>
        </w:rPr>
      </w:pP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Определите цели и задачи деятельности Правительства Франции.</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Определите цели и задачи деятельности Парламента Франции. </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Составьте схему «Судебная система Франции».</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Раскройте суть понятия «Местное управление во Франции». </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Составьте схему «Государственная служба во Франции».</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Определите особенности государственного строя Германии. </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Определите цели и задачи деятельности Парламент Германии.</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Раскройте понятие «Политические партии и партийная система». На примере избирательной системы Германии покажите особенности разных типов избирательных систем.</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Определите цели и задачи деятельности Президент Германии.</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Определите цели и задачи деятельности Правительства Германии. </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Судебная система Германии, нарисуйте схему.</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Раскройте суть регионального управления Германии.</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Местное управление Германии.</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lastRenderedPageBreak/>
        <w:t>Государственная служба Германии.</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Особенности государственного строя Испании.</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Определите цели и задачи деятельности Парламент Испании.</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Определите цели и задачи деятельности Правительство Испании.</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Судебная система Испании. </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Региональное управление Испании.</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Местное управление Испании.</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Государственная служба Испании.</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Особенности государственного строя Италии. </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Парламент Италии. Президент Италии.</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Определите цели и задачи деятельности Правительство Италии.</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Судебная власть Италии. </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Местное управление Италии. </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Государственная служба Италии.</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Особенности государственного строя Греции. </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Определите цели и задачи деятельности Парламент Греции. </w:t>
      </w:r>
    </w:p>
    <w:p w:rsidR="00516240" w:rsidRDefault="00516240" w:rsidP="00516240">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Определите цели и задачи деятельности Президент Греции.</w:t>
      </w:r>
    </w:p>
    <w:p w:rsidR="00516240" w:rsidRDefault="00516240" w:rsidP="00516240">
      <w:pPr>
        <w:spacing w:after="0" w:line="240" w:lineRule="auto"/>
        <w:ind w:left="720"/>
        <w:jc w:val="both"/>
        <w:rPr>
          <w:rFonts w:ascii="Times New Roman" w:hAnsi="Times New Roman"/>
          <w:sz w:val="24"/>
          <w:szCs w:val="24"/>
        </w:rPr>
      </w:pPr>
    </w:p>
    <w:p w:rsidR="00516240" w:rsidRDefault="00516240" w:rsidP="00516240">
      <w:pPr>
        <w:pStyle w:val="a5"/>
        <w:spacing w:after="0"/>
        <w:ind w:left="720"/>
        <w:jc w:val="both"/>
        <w:rPr>
          <w:b/>
          <w:bCs/>
          <w:i/>
          <w:color w:val="000000" w:themeColor="text1"/>
          <w:sz w:val="24"/>
          <w:szCs w:val="24"/>
          <w:lang w:eastAsia="zh-CN"/>
        </w:rPr>
      </w:pPr>
    </w:p>
    <w:p w:rsidR="00516240" w:rsidRDefault="00516240" w:rsidP="00516240">
      <w:pPr>
        <w:pStyle w:val="a5"/>
        <w:spacing w:after="0"/>
        <w:ind w:left="720"/>
        <w:jc w:val="both"/>
        <w:rPr>
          <w:b/>
          <w:i/>
          <w:color w:val="000000" w:themeColor="text1"/>
          <w:sz w:val="24"/>
          <w:szCs w:val="24"/>
          <w:lang w:eastAsia="zh-CN"/>
        </w:rPr>
      </w:pPr>
      <w:r>
        <w:rPr>
          <w:b/>
          <w:bCs/>
          <w:i/>
          <w:color w:val="000000" w:themeColor="text1"/>
          <w:sz w:val="24"/>
          <w:szCs w:val="24"/>
          <w:lang w:eastAsia="zh-CN"/>
        </w:rPr>
        <w:t xml:space="preserve">Перечень типовых практических заданий </w:t>
      </w:r>
      <w:r>
        <w:rPr>
          <w:b/>
          <w:i/>
          <w:color w:val="000000" w:themeColor="text1"/>
          <w:sz w:val="24"/>
          <w:szCs w:val="24"/>
          <w:lang w:eastAsia="zh-CN"/>
        </w:rPr>
        <w:t>(для оценки навыков и (или) опыта деятельности):</w:t>
      </w:r>
    </w:p>
    <w:p w:rsidR="00516240" w:rsidRDefault="00516240" w:rsidP="00516240">
      <w:pPr>
        <w:spacing w:after="0" w:line="240" w:lineRule="auto"/>
        <w:ind w:left="720"/>
        <w:jc w:val="both"/>
        <w:rPr>
          <w:rFonts w:ascii="Times New Roman" w:hAnsi="Times New Roman"/>
          <w:sz w:val="24"/>
          <w:szCs w:val="24"/>
        </w:rPr>
      </w:pP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Правительство Греции. </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Судебная власть Греции. </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Местное управление Греции. </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Государственная служба Греции.</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Особенности государственного строя Японии. </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Парламент Японии. </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Правительство Японии. </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Судебная система Японии. </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Муниципальное управление Японии.</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Государственная служба Японии.</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Особенности государственного строя КНР. </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Система государственных органов власти и управления КНР.</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Представительные органы КНР</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Избирательная система КНР.</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Система местных государственных органов.  </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Особенности государственного строя Индии.</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Партийная система Индии. </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Парламент Индии. </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Президент Индии. </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Правительство Индии.</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Судебная система Индии. </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Публичная власть в штатах и союзных территориях Индии. </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Местное управление Индии.</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Особенности государственного строя стран Латинской Америки. </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Общая характеристика органов государственной власти стран Латинской Америки</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Местное управление в странах Латинской Америки.</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Особенности государственного строя в арабских странах.</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Конституционные монархии: Катар, Объединенные Арабские Эмираты, Бахрейн, Кувейт. Иордания. Марокко.</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Арабские республики: Сирия, Ирак, Ливия, Тунис, Алжир. </w:t>
      </w:r>
    </w:p>
    <w:p w:rsidR="00516240" w:rsidRDefault="00516240" w:rsidP="00516240">
      <w:pPr>
        <w:numPr>
          <w:ilvl w:val="0"/>
          <w:numId w:val="3"/>
        </w:numPr>
        <w:spacing w:after="0" w:line="240" w:lineRule="auto"/>
        <w:jc w:val="both"/>
        <w:rPr>
          <w:rFonts w:ascii="Times New Roman" w:hAnsi="Times New Roman"/>
          <w:sz w:val="24"/>
          <w:szCs w:val="24"/>
        </w:rPr>
      </w:pPr>
      <w:r>
        <w:rPr>
          <w:rFonts w:ascii="Times New Roman" w:hAnsi="Times New Roman"/>
          <w:sz w:val="24"/>
          <w:szCs w:val="24"/>
        </w:rPr>
        <w:lastRenderedPageBreak/>
        <w:t xml:space="preserve">Система государственных органов Израиля. </w:t>
      </w:r>
    </w:p>
    <w:p w:rsidR="00516240" w:rsidRDefault="00516240" w:rsidP="00516240">
      <w:pPr>
        <w:pStyle w:val="a5"/>
        <w:spacing w:after="0"/>
        <w:ind w:left="0" w:firstLine="709"/>
        <w:jc w:val="both"/>
        <w:rPr>
          <w:i/>
          <w:sz w:val="24"/>
          <w:szCs w:val="24"/>
        </w:rPr>
      </w:pPr>
    </w:p>
    <w:p w:rsidR="00516240" w:rsidRDefault="00516240" w:rsidP="00516240">
      <w:pPr>
        <w:pStyle w:val="a5"/>
        <w:spacing w:after="0"/>
        <w:ind w:left="390"/>
        <w:jc w:val="both"/>
        <w:rPr>
          <w:sz w:val="24"/>
          <w:szCs w:val="24"/>
          <w:lang w:eastAsia="zh-CN"/>
        </w:rPr>
      </w:pPr>
    </w:p>
    <w:p w:rsidR="00516240" w:rsidRDefault="00516240" w:rsidP="00516240">
      <w:pPr>
        <w:pStyle w:val="ConsPlusNormal"/>
        <w:keepNext/>
        <w:numPr>
          <w:ilvl w:val="0"/>
          <w:numId w:val="4"/>
        </w:numPr>
        <w:tabs>
          <w:tab w:val="left" w:pos="993"/>
        </w:tabs>
        <w:ind w:left="0" w:firstLine="709"/>
        <w:jc w:val="both"/>
        <w:rPr>
          <w:rFonts w:ascii="Times New Roman" w:hAnsi="Times New Roman" w:cs="Times New Roman"/>
          <w:b/>
          <w:bCs/>
          <w:sz w:val="28"/>
          <w:szCs w:val="28"/>
        </w:rPr>
      </w:pPr>
      <w:r>
        <w:rPr>
          <w:rFonts w:ascii="Times New Roman" w:hAnsi="Times New Roman" w:cs="Times New Roman"/>
          <w:b/>
          <w:bCs/>
          <w:sz w:val="28"/>
          <w:szCs w:val="28"/>
        </w:rPr>
        <w:t>Методические материалы, определяющие процедуру оценивания знаний, умений, навыков и (или) опыта деятельности, характеризующих этапы формирования компетенций</w:t>
      </w:r>
    </w:p>
    <w:p w:rsidR="00516240" w:rsidRDefault="00516240" w:rsidP="00516240">
      <w:pPr>
        <w:pStyle w:val="a7"/>
        <w:spacing w:after="0" w:line="240" w:lineRule="auto"/>
        <w:ind w:left="390"/>
        <w:rPr>
          <w:rFonts w:ascii="Times New Roman" w:hAnsi="Times New Roman"/>
          <w:b/>
          <w:i/>
          <w:color w:val="000000"/>
          <w:sz w:val="28"/>
          <w:szCs w:val="28"/>
        </w:rPr>
      </w:pPr>
    </w:p>
    <w:p w:rsidR="00516240" w:rsidRDefault="00516240" w:rsidP="00516240">
      <w:pPr>
        <w:pStyle w:val="a7"/>
        <w:spacing w:after="0" w:line="240" w:lineRule="auto"/>
        <w:ind w:left="0" w:firstLine="390"/>
        <w:rPr>
          <w:rFonts w:ascii="Times New Roman" w:hAnsi="Times New Roman"/>
          <w:b/>
          <w:bCs/>
          <w:i/>
          <w:iCs/>
          <w:sz w:val="28"/>
          <w:szCs w:val="28"/>
        </w:rPr>
      </w:pPr>
      <w:r>
        <w:rPr>
          <w:rFonts w:ascii="Times New Roman" w:hAnsi="Times New Roman"/>
          <w:b/>
          <w:i/>
          <w:color w:val="000000"/>
          <w:sz w:val="28"/>
          <w:szCs w:val="28"/>
        </w:rPr>
        <w:t>4.1. Описание процедур проведения текущего контроля успеваемости студентов</w:t>
      </w:r>
    </w:p>
    <w:p w:rsidR="00516240" w:rsidRDefault="00516240" w:rsidP="00516240">
      <w:pPr>
        <w:pStyle w:val="Style1"/>
        <w:widowControl/>
        <w:tabs>
          <w:tab w:val="num" w:pos="435"/>
        </w:tabs>
        <w:ind w:firstLine="567"/>
        <w:jc w:val="both"/>
        <w:rPr>
          <w:color w:val="000000"/>
        </w:rPr>
      </w:pPr>
      <w:r>
        <w:rPr>
          <w:color w:val="000000"/>
        </w:rPr>
        <w:t>В таблице представлено описание процедур проведения контрольно-оценочных мероприятий текущего контроля успеваемости студентов, в соответствии с рабочей программой дисциплины, и процедур оценивания результатов обучения с помощью спланированных оценочных средств.</w:t>
      </w:r>
    </w:p>
    <w:p w:rsidR="00516240" w:rsidRDefault="00516240" w:rsidP="00516240">
      <w:pPr>
        <w:pStyle w:val="Style1"/>
        <w:widowControl/>
        <w:tabs>
          <w:tab w:val="num" w:pos="435"/>
        </w:tabs>
        <w:ind w:firstLine="567"/>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2"/>
        <w:gridCol w:w="7479"/>
      </w:tblGrid>
      <w:tr w:rsidR="00516240" w:rsidTr="00516240">
        <w:tc>
          <w:tcPr>
            <w:tcW w:w="1093" w:type="pct"/>
            <w:tcBorders>
              <w:top w:val="single" w:sz="4" w:space="0" w:color="auto"/>
              <w:left w:val="single" w:sz="4" w:space="0" w:color="auto"/>
              <w:bottom w:val="single" w:sz="4" w:space="0" w:color="auto"/>
              <w:right w:val="single" w:sz="4" w:space="0" w:color="auto"/>
            </w:tcBorders>
            <w:vAlign w:val="center"/>
            <w:hideMark/>
          </w:tcPr>
          <w:p w:rsidR="00516240" w:rsidRDefault="0051624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Наименование</w:t>
            </w:r>
          </w:p>
          <w:p w:rsidR="00516240" w:rsidRDefault="0051624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оценочного</w:t>
            </w:r>
          </w:p>
          <w:p w:rsidR="00516240" w:rsidRDefault="0051624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средства</w:t>
            </w:r>
          </w:p>
        </w:tc>
        <w:tc>
          <w:tcPr>
            <w:tcW w:w="3907" w:type="pct"/>
            <w:tcBorders>
              <w:top w:val="single" w:sz="4" w:space="0" w:color="auto"/>
              <w:left w:val="single" w:sz="4" w:space="0" w:color="auto"/>
              <w:bottom w:val="single" w:sz="4" w:space="0" w:color="auto"/>
              <w:right w:val="single" w:sz="4" w:space="0" w:color="auto"/>
            </w:tcBorders>
            <w:vAlign w:val="center"/>
            <w:hideMark/>
          </w:tcPr>
          <w:p w:rsidR="00516240" w:rsidRDefault="00516240">
            <w:pPr>
              <w:pStyle w:val="Style1"/>
              <w:widowControl/>
              <w:tabs>
                <w:tab w:val="num" w:pos="435"/>
              </w:tabs>
              <w:jc w:val="center"/>
              <w:rPr>
                <w:rStyle w:val="FontStyle20"/>
                <w:b w:val="0"/>
                <w:color w:val="000000"/>
              </w:rPr>
            </w:pPr>
            <w:r>
              <w:rPr>
                <w:color w:val="000000"/>
              </w:rPr>
              <w:t>Описания процедуры проведения контрольно-оценочного мероприятия и процедуры оценивания результатов обучения</w:t>
            </w:r>
          </w:p>
        </w:tc>
      </w:tr>
      <w:tr w:rsidR="00516240" w:rsidTr="00516240">
        <w:tc>
          <w:tcPr>
            <w:tcW w:w="1093" w:type="pct"/>
            <w:tcBorders>
              <w:top w:val="single" w:sz="4" w:space="0" w:color="auto"/>
              <w:left w:val="single" w:sz="4" w:space="0" w:color="auto"/>
              <w:bottom w:val="single" w:sz="4" w:space="0" w:color="auto"/>
              <w:right w:val="single" w:sz="4" w:space="0" w:color="auto"/>
            </w:tcBorders>
            <w:vAlign w:val="center"/>
            <w:hideMark/>
          </w:tcPr>
          <w:p w:rsidR="00516240" w:rsidRDefault="00516240">
            <w:pPr>
              <w:spacing w:after="0" w:line="240" w:lineRule="auto"/>
              <w:rPr>
                <w:rFonts w:ascii="Times New Roman" w:hAnsi="Times New Roman"/>
                <w:color w:val="000000"/>
                <w:sz w:val="24"/>
                <w:szCs w:val="24"/>
              </w:rPr>
            </w:pPr>
            <w:r>
              <w:rPr>
                <w:rFonts w:ascii="Times New Roman" w:hAnsi="Times New Roman"/>
                <w:color w:val="000000"/>
                <w:sz w:val="24"/>
                <w:szCs w:val="24"/>
              </w:rPr>
              <w:t>Доклад</w:t>
            </w:r>
          </w:p>
        </w:tc>
        <w:tc>
          <w:tcPr>
            <w:tcW w:w="3907" w:type="pct"/>
            <w:tcBorders>
              <w:top w:val="single" w:sz="4" w:space="0" w:color="auto"/>
              <w:left w:val="single" w:sz="4" w:space="0" w:color="auto"/>
              <w:bottom w:val="single" w:sz="4" w:space="0" w:color="auto"/>
              <w:right w:val="single" w:sz="4" w:space="0" w:color="auto"/>
            </w:tcBorders>
            <w:hideMark/>
          </w:tcPr>
          <w:p w:rsidR="00516240" w:rsidRDefault="00516240">
            <w:pPr>
              <w:spacing w:after="0" w:line="240" w:lineRule="auto"/>
              <w:ind w:firstLine="68"/>
              <w:jc w:val="both"/>
              <w:rPr>
                <w:rFonts w:ascii="Times New Roman" w:hAnsi="Times New Roman"/>
                <w:sz w:val="24"/>
                <w:szCs w:val="24"/>
              </w:rPr>
            </w:pPr>
            <w:r>
              <w:rPr>
                <w:rFonts w:ascii="Times New Roman" w:hAnsi="Times New Roman"/>
                <w:color w:val="000000"/>
                <w:sz w:val="24"/>
                <w:szCs w:val="24"/>
              </w:rPr>
              <w:t>Защита докладов предусмотренные рабочей программой дисциплины, проводится во время практических занятий. Преподаватель на практическом занятии, предшествующем занятию проведения контроля, доводит до обучающихся: тему докладов и требования, предъявляемые к их выполнению и защите</w:t>
            </w:r>
            <w:r>
              <w:rPr>
                <w:rFonts w:ascii="Times New Roman" w:hAnsi="Times New Roman"/>
                <w:sz w:val="24"/>
                <w:szCs w:val="24"/>
              </w:rPr>
              <w:t xml:space="preserve"> </w:t>
            </w:r>
          </w:p>
          <w:p w:rsidR="00516240" w:rsidRDefault="00516240">
            <w:pPr>
              <w:spacing w:after="0" w:line="240" w:lineRule="auto"/>
              <w:ind w:firstLine="68"/>
              <w:jc w:val="both"/>
              <w:rPr>
                <w:rFonts w:ascii="Times New Roman" w:hAnsi="Times New Roman"/>
                <w:sz w:val="24"/>
                <w:szCs w:val="24"/>
              </w:rPr>
            </w:pPr>
            <w:r>
              <w:rPr>
                <w:rFonts w:ascii="Times New Roman" w:hAnsi="Times New Roman"/>
                <w:sz w:val="24"/>
                <w:szCs w:val="24"/>
              </w:rPr>
              <w:t>Для подготовки доклада необходимо:</w:t>
            </w:r>
          </w:p>
          <w:p w:rsidR="00516240" w:rsidRDefault="00516240">
            <w:pPr>
              <w:tabs>
                <w:tab w:val="left" w:pos="993"/>
              </w:tabs>
              <w:spacing w:after="0" w:line="240" w:lineRule="auto"/>
              <w:jc w:val="both"/>
              <w:rPr>
                <w:rFonts w:ascii="Times New Roman" w:hAnsi="Times New Roman"/>
                <w:sz w:val="24"/>
                <w:szCs w:val="24"/>
              </w:rPr>
            </w:pPr>
            <w:r>
              <w:rPr>
                <w:rFonts w:ascii="Times New Roman" w:hAnsi="Times New Roman"/>
                <w:sz w:val="24"/>
                <w:szCs w:val="24"/>
              </w:rPr>
              <w:t>- ознакомиться с указанной учебной, научной, периодической литературой, интернет-источниками;</w:t>
            </w:r>
          </w:p>
          <w:p w:rsidR="00516240" w:rsidRDefault="00516240">
            <w:pPr>
              <w:tabs>
                <w:tab w:val="left" w:pos="993"/>
              </w:tabs>
              <w:spacing w:after="0" w:line="240" w:lineRule="auto"/>
              <w:jc w:val="both"/>
              <w:rPr>
                <w:rFonts w:ascii="Times New Roman" w:hAnsi="Times New Roman"/>
                <w:sz w:val="24"/>
                <w:szCs w:val="24"/>
              </w:rPr>
            </w:pPr>
            <w:r>
              <w:rPr>
                <w:rFonts w:ascii="Times New Roman" w:hAnsi="Times New Roman"/>
                <w:sz w:val="24"/>
                <w:szCs w:val="24"/>
              </w:rPr>
              <w:t>- составить план доклада (обозначить круг основных проблем и вопросов);</w:t>
            </w:r>
          </w:p>
          <w:p w:rsidR="00516240" w:rsidRDefault="00516240">
            <w:pPr>
              <w:tabs>
                <w:tab w:val="left" w:pos="993"/>
              </w:tabs>
              <w:spacing w:after="0" w:line="240" w:lineRule="auto"/>
              <w:jc w:val="both"/>
              <w:rPr>
                <w:rFonts w:ascii="Times New Roman" w:hAnsi="Times New Roman"/>
                <w:sz w:val="24"/>
                <w:szCs w:val="24"/>
              </w:rPr>
            </w:pPr>
            <w:r>
              <w:rPr>
                <w:rFonts w:ascii="Times New Roman" w:hAnsi="Times New Roman"/>
                <w:sz w:val="24"/>
                <w:szCs w:val="24"/>
              </w:rPr>
              <w:t>- подобрать материал к каждому пункту плана;</w:t>
            </w:r>
          </w:p>
          <w:p w:rsidR="00516240" w:rsidRDefault="00516240">
            <w:pPr>
              <w:spacing w:after="0" w:line="240" w:lineRule="auto"/>
              <w:jc w:val="both"/>
              <w:rPr>
                <w:rStyle w:val="FontStyle20"/>
                <w:bCs/>
                <w:color w:val="000000"/>
                <w:sz w:val="24"/>
              </w:rPr>
            </w:pPr>
            <w:r>
              <w:rPr>
                <w:rFonts w:ascii="Times New Roman" w:hAnsi="Times New Roman"/>
                <w:sz w:val="24"/>
                <w:szCs w:val="24"/>
              </w:rPr>
              <w:t>- возможно выдвижение  и доказательство собственной гипотезы.</w:t>
            </w:r>
          </w:p>
        </w:tc>
      </w:tr>
      <w:tr w:rsidR="00516240" w:rsidTr="00516240">
        <w:tc>
          <w:tcPr>
            <w:tcW w:w="1093" w:type="pct"/>
            <w:tcBorders>
              <w:top w:val="single" w:sz="4" w:space="0" w:color="auto"/>
              <w:left w:val="single" w:sz="4" w:space="0" w:color="auto"/>
              <w:bottom w:val="single" w:sz="4" w:space="0" w:color="auto"/>
              <w:right w:val="single" w:sz="4" w:space="0" w:color="auto"/>
            </w:tcBorders>
            <w:vAlign w:val="center"/>
          </w:tcPr>
          <w:p w:rsidR="00516240" w:rsidRDefault="00516240">
            <w:pPr>
              <w:pStyle w:val="a7"/>
              <w:tabs>
                <w:tab w:val="left" w:pos="0"/>
                <w:tab w:val="left" w:pos="97"/>
              </w:tabs>
              <w:spacing w:after="0" w:line="240" w:lineRule="auto"/>
              <w:ind w:left="0"/>
              <w:jc w:val="both"/>
              <w:rPr>
                <w:rFonts w:ascii="Times New Roman" w:hAnsi="Times New Roman"/>
                <w:sz w:val="24"/>
                <w:szCs w:val="24"/>
              </w:rPr>
            </w:pPr>
            <w:r>
              <w:rPr>
                <w:rFonts w:ascii="Times New Roman" w:hAnsi="Times New Roman"/>
                <w:sz w:val="24"/>
                <w:szCs w:val="24"/>
              </w:rPr>
              <w:t>Электронная презентация</w:t>
            </w:r>
          </w:p>
          <w:p w:rsidR="00516240" w:rsidRDefault="00516240">
            <w:pPr>
              <w:spacing w:after="0" w:line="240" w:lineRule="auto"/>
              <w:rPr>
                <w:rFonts w:ascii="Times New Roman" w:hAnsi="Times New Roman"/>
                <w:color w:val="000000"/>
                <w:sz w:val="24"/>
                <w:szCs w:val="24"/>
              </w:rPr>
            </w:pPr>
          </w:p>
        </w:tc>
        <w:tc>
          <w:tcPr>
            <w:tcW w:w="3907" w:type="pct"/>
            <w:tcBorders>
              <w:top w:val="single" w:sz="4" w:space="0" w:color="auto"/>
              <w:left w:val="single" w:sz="4" w:space="0" w:color="auto"/>
              <w:bottom w:val="single" w:sz="4" w:space="0" w:color="auto"/>
              <w:right w:val="single" w:sz="4" w:space="0" w:color="auto"/>
            </w:tcBorders>
            <w:hideMark/>
          </w:tcPr>
          <w:p w:rsidR="00516240" w:rsidRDefault="00516240">
            <w:pPr>
              <w:spacing w:after="0" w:line="240" w:lineRule="auto"/>
              <w:jc w:val="both"/>
              <w:rPr>
                <w:rStyle w:val="FontStyle20"/>
                <w:bCs/>
                <w:color w:val="000000"/>
                <w:sz w:val="24"/>
                <w:szCs w:val="24"/>
              </w:rPr>
            </w:pPr>
            <w:r>
              <w:rPr>
                <w:rFonts w:ascii="Times New Roman" w:hAnsi="Times New Roman"/>
                <w:sz w:val="24"/>
                <w:szCs w:val="24"/>
              </w:rPr>
              <w:t>Электронная презентация представляет собой сочетание текста, графики, компьютерной анимации, видео, музыки и звукового ряда, которые организованы в единую среду, и предназначена для сопровождения публичных выступлений по предложенным темам.</w:t>
            </w:r>
            <w:r>
              <w:rPr>
                <w:rFonts w:ascii="Times New Roman" w:hAnsi="Times New Roman"/>
                <w:b/>
                <w:sz w:val="24"/>
                <w:szCs w:val="24"/>
              </w:rPr>
              <w:t xml:space="preserve"> </w:t>
            </w:r>
          </w:p>
        </w:tc>
      </w:tr>
      <w:tr w:rsidR="00516240" w:rsidTr="00516240">
        <w:tc>
          <w:tcPr>
            <w:tcW w:w="1093" w:type="pct"/>
            <w:tcBorders>
              <w:top w:val="single" w:sz="4" w:space="0" w:color="auto"/>
              <w:left w:val="single" w:sz="4" w:space="0" w:color="auto"/>
              <w:bottom w:val="single" w:sz="4" w:space="0" w:color="auto"/>
              <w:right w:val="single" w:sz="4" w:space="0" w:color="auto"/>
            </w:tcBorders>
            <w:vAlign w:val="center"/>
            <w:hideMark/>
          </w:tcPr>
          <w:p w:rsidR="00516240" w:rsidRDefault="00516240">
            <w:pPr>
              <w:spacing w:after="0" w:line="240" w:lineRule="auto"/>
              <w:rPr>
                <w:rFonts w:ascii="Times New Roman" w:hAnsi="Times New Roman"/>
                <w:color w:val="000000"/>
                <w:sz w:val="24"/>
                <w:szCs w:val="24"/>
              </w:rPr>
            </w:pPr>
            <w:r>
              <w:rPr>
                <w:rFonts w:ascii="Times New Roman" w:hAnsi="Times New Roman"/>
                <w:color w:val="000000"/>
                <w:sz w:val="24"/>
                <w:szCs w:val="24"/>
              </w:rPr>
              <w:t>Тестирование</w:t>
            </w:r>
          </w:p>
        </w:tc>
        <w:tc>
          <w:tcPr>
            <w:tcW w:w="3907" w:type="pct"/>
            <w:tcBorders>
              <w:top w:val="single" w:sz="4" w:space="0" w:color="auto"/>
              <w:left w:val="single" w:sz="4" w:space="0" w:color="auto"/>
              <w:bottom w:val="single" w:sz="4" w:space="0" w:color="auto"/>
              <w:right w:val="single" w:sz="4" w:space="0" w:color="auto"/>
            </w:tcBorders>
            <w:hideMark/>
          </w:tcPr>
          <w:p w:rsidR="00516240" w:rsidRDefault="00516240">
            <w:pPr>
              <w:spacing w:after="0" w:line="240" w:lineRule="auto"/>
              <w:jc w:val="both"/>
              <w:rPr>
                <w:rStyle w:val="FontStyle20"/>
                <w:b w:val="0"/>
                <w:color w:val="000000"/>
                <w:sz w:val="24"/>
                <w:szCs w:val="24"/>
              </w:rPr>
            </w:pPr>
            <w:r>
              <w:rPr>
                <w:rFonts w:ascii="Times New Roman" w:hAnsi="Times New Roman"/>
                <w:color w:val="000000"/>
                <w:sz w:val="24"/>
                <w:szCs w:val="24"/>
              </w:rPr>
              <w:t>Тестирование проводится по результатам освоения разделов дисциплины во время практических занятий. Во время проведения тестирования пользоваться учебниками, справочниками, конспектами лекций, тетрадями для практических занятий не разрешено. Преподаватель на практическом занятии, предшествующем занятию проведения теста, доводит до обучающихся: темы, количество заданий в тесте время выполнения.</w:t>
            </w:r>
          </w:p>
        </w:tc>
      </w:tr>
    </w:tbl>
    <w:p w:rsidR="00516240" w:rsidRDefault="00516240" w:rsidP="00516240">
      <w:pPr>
        <w:spacing w:after="0" w:line="240" w:lineRule="auto"/>
        <w:jc w:val="center"/>
        <w:rPr>
          <w:rFonts w:ascii="Times New Roman" w:hAnsi="Times New Roman"/>
          <w:b/>
          <w:i/>
          <w:color w:val="000000"/>
          <w:sz w:val="28"/>
          <w:szCs w:val="28"/>
        </w:rPr>
      </w:pPr>
    </w:p>
    <w:p w:rsidR="00516240" w:rsidRDefault="00516240" w:rsidP="00516240">
      <w:pPr>
        <w:numPr>
          <w:ilvl w:val="1"/>
          <w:numId w:val="5"/>
        </w:numPr>
        <w:spacing w:after="0" w:line="240" w:lineRule="auto"/>
        <w:jc w:val="center"/>
        <w:rPr>
          <w:rFonts w:ascii="Times New Roman" w:hAnsi="Times New Roman"/>
          <w:b/>
          <w:bCs/>
          <w:i/>
          <w:iCs/>
          <w:sz w:val="28"/>
          <w:szCs w:val="28"/>
        </w:rPr>
      </w:pPr>
      <w:r>
        <w:rPr>
          <w:rFonts w:ascii="Times New Roman" w:hAnsi="Times New Roman"/>
          <w:b/>
          <w:i/>
          <w:color w:val="000000"/>
          <w:sz w:val="28"/>
          <w:szCs w:val="28"/>
        </w:rPr>
        <w:t>Описание процедур проведения п</w:t>
      </w:r>
      <w:r>
        <w:rPr>
          <w:rFonts w:ascii="Times New Roman" w:hAnsi="Times New Roman"/>
          <w:b/>
          <w:bCs/>
          <w:i/>
          <w:iCs/>
          <w:sz w:val="28"/>
          <w:szCs w:val="28"/>
        </w:rPr>
        <w:t>ромежуточной аттестации</w:t>
      </w:r>
    </w:p>
    <w:p w:rsidR="00516240" w:rsidRDefault="00516240" w:rsidP="00516240">
      <w:pPr>
        <w:spacing w:after="0" w:line="240" w:lineRule="auto"/>
        <w:ind w:left="1080"/>
        <w:jc w:val="center"/>
        <w:rPr>
          <w:rFonts w:ascii="Times New Roman" w:hAnsi="Times New Roman"/>
          <w:b/>
          <w:bCs/>
          <w:i/>
          <w:iCs/>
          <w:sz w:val="28"/>
          <w:szCs w:val="28"/>
        </w:rPr>
      </w:pPr>
      <w:r>
        <w:rPr>
          <w:rFonts w:ascii="Times New Roman" w:hAnsi="Times New Roman"/>
          <w:b/>
          <w:i/>
          <w:color w:val="000000"/>
          <w:sz w:val="28"/>
          <w:szCs w:val="28"/>
        </w:rPr>
        <w:t>Зачет</w:t>
      </w:r>
    </w:p>
    <w:p w:rsidR="00516240" w:rsidRDefault="00516240" w:rsidP="00516240">
      <w:pPr>
        <w:tabs>
          <w:tab w:val="left" w:pos="426"/>
        </w:tabs>
        <w:spacing w:after="0" w:line="240" w:lineRule="auto"/>
        <w:ind w:firstLine="709"/>
        <w:jc w:val="both"/>
        <w:outlineLvl w:val="1"/>
        <w:rPr>
          <w:rFonts w:ascii="Times New Roman" w:hAnsi="Times New Roman"/>
          <w:sz w:val="24"/>
          <w:szCs w:val="24"/>
        </w:rPr>
      </w:pPr>
      <w:r>
        <w:rPr>
          <w:rFonts w:ascii="Times New Roman" w:hAnsi="Times New Roman"/>
          <w:sz w:val="24"/>
          <w:szCs w:val="24"/>
        </w:rPr>
        <w:t>Для формирования оценки текущего контроля успеваемости используется 4-балльная система: отлично, хорошо, удовлетворительно, неудовлетворительно.</w:t>
      </w:r>
    </w:p>
    <w:p w:rsidR="00516240" w:rsidRDefault="00516240" w:rsidP="00516240">
      <w:pPr>
        <w:pStyle w:val="a3"/>
        <w:ind w:firstLine="708"/>
        <w:jc w:val="both"/>
        <w:rPr>
          <w:sz w:val="24"/>
          <w:szCs w:val="24"/>
        </w:rPr>
      </w:pPr>
      <w:r>
        <w:rPr>
          <w:sz w:val="24"/>
          <w:szCs w:val="24"/>
        </w:rPr>
        <w:t>Для проведения промежуточной аттестации используется 2-балльная система: зачтено, не зачтено.</w:t>
      </w:r>
    </w:p>
    <w:p w:rsidR="00516240" w:rsidRDefault="00516240" w:rsidP="00516240">
      <w:pPr>
        <w:pStyle w:val="a3"/>
        <w:ind w:firstLine="708"/>
        <w:jc w:val="both"/>
        <w:rPr>
          <w:sz w:val="24"/>
          <w:szCs w:val="24"/>
        </w:rPr>
      </w:pPr>
      <w:r>
        <w:rPr>
          <w:sz w:val="24"/>
          <w:szCs w:val="24"/>
        </w:rPr>
        <w:t>В течение семестра осуществляется контроль знаний студентов в форме опросов, проверочных тестов, докладов студентов и защиты реферата.</w:t>
      </w:r>
    </w:p>
    <w:p w:rsidR="00516240" w:rsidRDefault="00516240" w:rsidP="00516240">
      <w:pPr>
        <w:pStyle w:val="a3"/>
        <w:ind w:firstLine="708"/>
        <w:jc w:val="both"/>
        <w:rPr>
          <w:sz w:val="24"/>
          <w:szCs w:val="24"/>
        </w:rPr>
      </w:pPr>
      <w:r>
        <w:rPr>
          <w:sz w:val="24"/>
          <w:szCs w:val="24"/>
        </w:rPr>
        <w:t>В соответствии с учебным планом по курсу «Основы современных технологий управления зарубежных стран» предусмотрен зачет в 6 семестре.</w:t>
      </w:r>
    </w:p>
    <w:p w:rsidR="00516240" w:rsidRDefault="00516240" w:rsidP="00516240">
      <w:pPr>
        <w:pStyle w:val="a3"/>
        <w:ind w:firstLine="708"/>
        <w:jc w:val="both"/>
        <w:rPr>
          <w:sz w:val="24"/>
          <w:szCs w:val="24"/>
        </w:rPr>
      </w:pPr>
      <w:r>
        <w:rPr>
          <w:sz w:val="24"/>
          <w:szCs w:val="24"/>
        </w:rPr>
        <w:lastRenderedPageBreak/>
        <w:t xml:space="preserve">Методика проведения зачета – устные ответы студентов. </w:t>
      </w:r>
    </w:p>
    <w:p w:rsidR="00516240" w:rsidRDefault="00516240" w:rsidP="00516240">
      <w:pPr>
        <w:spacing w:after="0" w:line="240" w:lineRule="auto"/>
        <w:ind w:left="720"/>
        <w:jc w:val="center"/>
        <w:rPr>
          <w:rFonts w:ascii="Times New Roman" w:hAnsi="Times New Roman"/>
          <w:b/>
          <w:sz w:val="24"/>
          <w:szCs w:val="24"/>
        </w:rPr>
      </w:pPr>
    </w:p>
    <w:p w:rsidR="00516240" w:rsidRDefault="00516240" w:rsidP="00516240">
      <w:pPr>
        <w:spacing w:after="0" w:line="240" w:lineRule="auto"/>
        <w:ind w:left="720"/>
        <w:jc w:val="center"/>
        <w:rPr>
          <w:rFonts w:ascii="Times New Roman" w:hAnsi="Times New Roman"/>
          <w:sz w:val="24"/>
          <w:szCs w:val="24"/>
        </w:rPr>
      </w:pPr>
      <w:r>
        <w:rPr>
          <w:rFonts w:ascii="Times New Roman" w:hAnsi="Times New Roman"/>
          <w:b/>
          <w:sz w:val="24"/>
          <w:szCs w:val="24"/>
        </w:rPr>
        <w:t>Вопросы к зачету.</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Понятие технологии управления.</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Подходы отечественных и зарубежных авторов к трактовке технологии управления.</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Специфика технологии государственного управления.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Отличительные особенности технологии муниципального управления.</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Современные технологии управления в ведущих странах мира.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Сравнительный анализ технологий управления в зарубежных странах и РФ.</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Особенности государственного строя Великобритании и Северной Ирландии.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Общая характеристика административного аппарата Великобритании.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Правовое положение личности в Великобритании.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Политические партии и партийная система.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Правовой статус монарха Великобритании и Северной Ирландии.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Общая характеристика парламента в Великобритании.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Общая характеристика правительства Великобритании.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Общая характеристика судебной системы Великобритании.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Местное управление Великобритании.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Государственная служба Великобритании.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Особенности государственного строя США.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Общая характеристика Конституции США.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Права и свободы человека и гражданина в США.</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Политические партии и партийная система США. Избирательная система США.</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Конгресс США.</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Президент США. Исполнительная власть в США.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Судебная система в США.</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Региональное управление в США.</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Местное управление в США.</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Государственная служба в США.</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Особенности государственного строя Франции.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Общая характеристика Конституции Франции.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Политические партии и партийная система Франции. Избирательная система Франции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Президент Франции.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Правительство Франции.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Парламент Франции.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Судебная система Франции.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Местное управление во Франции.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Государственная служба во Франции.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Особенности государственного строя Германии.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Парламент Германии.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Политические партии и партийная система. Избирательная система Германии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Президент Германии.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Правительство Германии.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Судебная система Германии.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Региональное управление Германии.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Местное управление Германии.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Государственная служба Германии.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Особенности государственного строя Испании.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Парламент Испании.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Правительство Испании.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lastRenderedPageBreak/>
        <w:t xml:space="preserve"> Судебная система Испании.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Региональное управление Испании.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Местное управление Испании.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Государственная служба Испании.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Особенности государственного строя Италии.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Парламент Италии. Президент Италии.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Правительство Италии.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Судебная власть Италии.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Местное управление Италии.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Государственная служба Италии.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Особенности государственного строя Греции.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Парламент Греции.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Президент Греции.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Правительство Греции.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Судебная власть Греции.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Местное управление Греции.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Государственная служба Греции.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Особенности государственного строя Японии.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Парламент Японии.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Правительство Японии.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Судебная система Японии.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Муниципальное управление Японии.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Государственная служба Японии.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Особенности государственного строя КНР.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Система государственных органов власти и управления КНР.</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Представительные органы КНР</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Избирательная система КНР.</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Система местных государственных органов.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Особенности государственного строя Индии.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Партийная система Индии.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Парламент Индии.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Президент Индии.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Правительство Индии.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Судебная система Индии.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Публичная власть в штатах и союзных территориях Индии.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Местное управление Индии.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Особенности государственного строя стран Латинской Америки.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Общая характеристика органов государственной власти стран Латинской Америки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Местное управление в странах Латинской Америки.</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Особенности государственного строя в арабских странах.</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Конституционные монархии: Катар, Объединенные Арабские Эмираты, Бахрейн, Кувейт. Иордания. Марокко.</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Арабские республики: Сирия, Ирак, Ливия, Тунис, Алжир. </w:t>
      </w:r>
    </w:p>
    <w:p w:rsidR="00516240" w:rsidRDefault="00516240" w:rsidP="0051624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Система государственных органов Израиля. </w:t>
      </w:r>
    </w:p>
    <w:p w:rsidR="00516240" w:rsidRDefault="00516240" w:rsidP="00516240">
      <w:pPr>
        <w:spacing w:after="0" w:line="240" w:lineRule="auto"/>
        <w:rPr>
          <w:rFonts w:ascii="Times New Roman" w:hAnsi="Times New Roman"/>
          <w:sz w:val="24"/>
          <w:szCs w:val="24"/>
        </w:rPr>
      </w:pPr>
    </w:p>
    <w:p w:rsidR="00516240" w:rsidRDefault="00516240" w:rsidP="00516240">
      <w:pPr>
        <w:pStyle w:val="a5"/>
        <w:tabs>
          <w:tab w:val="center" w:pos="4872"/>
          <w:tab w:val="left" w:pos="6022"/>
        </w:tabs>
        <w:spacing w:after="0"/>
        <w:ind w:left="390"/>
        <w:rPr>
          <w:b/>
          <w:i/>
          <w:color w:val="000000"/>
          <w:sz w:val="24"/>
          <w:szCs w:val="24"/>
          <w:lang w:eastAsia="zh-CN"/>
        </w:rPr>
      </w:pPr>
    </w:p>
    <w:p w:rsidR="004B2328" w:rsidRDefault="004B2328"/>
    <w:sectPr w:rsidR="004B2328" w:rsidSect="004B23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B0DD4"/>
    <w:multiLevelType w:val="hybridMultilevel"/>
    <w:tmpl w:val="668CA22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B6B43C7"/>
    <w:multiLevelType w:val="multilevel"/>
    <w:tmpl w:val="BF5CCFD0"/>
    <w:lvl w:ilvl="0">
      <w:start w:val="1"/>
      <w:numFmt w:val="decimal"/>
      <w:lvlText w:val="%1."/>
      <w:lvlJc w:val="left"/>
      <w:pPr>
        <w:ind w:left="720" w:hanging="360"/>
      </w:pPr>
      <w:rPr>
        <w:rFonts w:cs="Times New Roman"/>
      </w:rPr>
    </w:lvl>
    <w:lvl w:ilvl="1">
      <w:start w:val="2"/>
      <w:numFmt w:val="decimal"/>
      <w:isLgl/>
      <w:lvlText w:val="%1.%2."/>
      <w:lvlJc w:val="left"/>
      <w:pPr>
        <w:ind w:left="1080" w:hanging="720"/>
      </w:pPr>
      <w:rPr>
        <w:color w:val="000000"/>
      </w:rPr>
    </w:lvl>
    <w:lvl w:ilvl="2">
      <w:start w:val="1"/>
      <w:numFmt w:val="decimal"/>
      <w:isLgl/>
      <w:lvlText w:val="%1.%2.%3."/>
      <w:lvlJc w:val="left"/>
      <w:pPr>
        <w:ind w:left="1080" w:hanging="720"/>
      </w:pPr>
      <w:rPr>
        <w:color w:val="000000"/>
      </w:rPr>
    </w:lvl>
    <w:lvl w:ilvl="3">
      <w:start w:val="1"/>
      <w:numFmt w:val="decimal"/>
      <w:isLgl/>
      <w:lvlText w:val="%1.%2.%3.%4."/>
      <w:lvlJc w:val="left"/>
      <w:pPr>
        <w:ind w:left="1440" w:hanging="1080"/>
      </w:pPr>
      <w:rPr>
        <w:color w:val="000000"/>
      </w:rPr>
    </w:lvl>
    <w:lvl w:ilvl="4">
      <w:start w:val="1"/>
      <w:numFmt w:val="decimal"/>
      <w:isLgl/>
      <w:lvlText w:val="%1.%2.%3.%4.%5."/>
      <w:lvlJc w:val="left"/>
      <w:pPr>
        <w:ind w:left="1440" w:hanging="1080"/>
      </w:pPr>
      <w:rPr>
        <w:color w:val="000000"/>
      </w:rPr>
    </w:lvl>
    <w:lvl w:ilvl="5">
      <w:start w:val="1"/>
      <w:numFmt w:val="decimal"/>
      <w:isLgl/>
      <w:lvlText w:val="%1.%2.%3.%4.%5.%6."/>
      <w:lvlJc w:val="left"/>
      <w:pPr>
        <w:ind w:left="1800" w:hanging="1440"/>
      </w:pPr>
      <w:rPr>
        <w:color w:val="000000"/>
      </w:rPr>
    </w:lvl>
    <w:lvl w:ilvl="6">
      <w:start w:val="1"/>
      <w:numFmt w:val="decimal"/>
      <w:isLgl/>
      <w:lvlText w:val="%1.%2.%3.%4.%5.%6.%7."/>
      <w:lvlJc w:val="left"/>
      <w:pPr>
        <w:ind w:left="2160" w:hanging="1800"/>
      </w:pPr>
      <w:rPr>
        <w:color w:val="000000"/>
      </w:rPr>
    </w:lvl>
    <w:lvl w:ilvl="7">
      <w:start w:val="1"/>
      <w:numFmt w:val="decimal"/>
      <w:isLgl/>
      <w:lvlText w:val="%1.%2.%3.%4.%5.%6.%7.%8."/>
      <w:lvlJc w:val="left"/>
      <w:pPr>
        <w:ind w:left="2160" w:hanging="1800"/>
      </w:pPr>
      <w:rPr>
        <w:color w:val="000000"/>
      </w:rPr>
    </w:lvl>
    <w:lvl w:ilvl="8">
      <w:start w:val="1"/>
      <w:numFmt w:val="decimal"/>
      <w:isLgl/>
      <w:lvlText w:val="%1.%2.%3.%4.%5.%6.%7.%8.%9."/>
      <w:lvlJc w:val="left"/>
      <w:pPr>
        <w:ind w:left="2520" w:hanging="2160"/>
      </w:pPr>
      <w:rPr>
        <w:color w:val="000000"/>
      </w:rPr>
    </w:lvl>
  </w:abstractNum>
  <w:abstractNum w:abstractNumId="2">
    <w:nsid w:val="4E4A3AB1"/>
    <w:multiLevelType w:val="hybridMultilevel"/>
    <w:tmpl w:val="9D5AF93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27F5DF0"/>
    <w:multiLevelType w:val="multilevel"/>
    <w:tmpl w:val="3054897A"/>
    <w:lvl w:ilvl="0">
      <w:start w:val="3"/>
      <w:numFmt w:val="decimal"/>
      <w:lvlText w:val="%1."/>
      <w:lvlJc w:val="left"/>
      <w:pPr>
        <w:ind w:left="390" w:hanging="390"/>
      </w:pPr>
      <w:rPr>
        <w:rFonts w:cs="Times New Roman"/>
      </w:rPr>
    </w:lvl>
    <w:lvl w:ilvl="1">
      <w:start w:val="1"/>
      <w:numFmt w:val="decimal"/>
      <w:lvlText w:val="%1.%2."/>
      <w:lvlJc w:val="left"/>
      <w:pPr>
        <w:ind w:left="2149" w:hanging="720"/>
      </w:pPr>
      <w:rPr>
        <w:rFonts w:cs="Times New Roman"/>
      </w:rPr>
    </w:lvl>
    <w:lvl w:ilvl="2">
      <w:start w:val="1"/>
      <w:numFmt w:val="decimal"/>
      <w:lvlText w:val="%1.%2.%3."/>
      <w:lvlJc w:val="left"/>
      <w:pPr>
        <w:ind w:left="3578" w:hanging="720"/>
      </w:pPr>
      <w:rPr>
        <w:rFonts w:cs="Times New Roman"/>
      </w:rPr>
    </w:lvl>
    <w:lvl w:ilvl="3">
      <w:start w:val="1"/>
      <w:numFmt w:val="decimal"/>
      <w:lvlText w:val="%1.%2.%3.%4."/>
      <w:lvlJc w:val="left"/>
      <w:pPr>
        <w:ind w:left="5367" w:hanging="1080"/>
      </w:pPr>
      <w:rPr>
        <w:rFonts w:cs="Times New Roman"/>
      </w:rPr>
    </w:lvl>
    <w:lvl w:ilvl="4">
      <w:start w:val="1"/>
      <w:numFmt w:val="decimal"/>
      <w:lvlText w:val="%1.%2.%3.%4.%5."/>
      <w:lvlJc w:val="left"/>
      <w:pPr>
        <w:ind w:left="6796" w:hanging="1080"/>
      </w:pPr>
      <w:rPr>
        <w:rFonts w:cs="Times New Roman"/>
      </w:rPr>
    </w:lvl>
    <w:lvl w:ilvl="5">
      <w:start w:val="1"/>
      <w:numFmt w:val="decimal"/>
      <w:lvlText w:val="%1.%2.%3.%4.%5.%6."/>
      <w:lvlJc w:val="left"/>
      <w:pPr>
        <w:ind w:left="8585" w:hanging="1440"/>
      </w:pPr>
      <w:rPr>
        <w:rFonts w:cs="Times New Roman"/>
      </w:rPr>
    </w:lvl>
    <w:lvl w:ilvl="6">
      <w:start w:val="1"/>
      <w:numFmt w:val="decimal"/>
      <w:lvlText w:val="%1.%2.%3.%4.%5.%6.%7."/>
      <w:lvlJc w:val="left"/>
      <w:pPr>
        <w:ind w:left="10014" w:hanging="1440"/>
      </w:pPr>
      <w:rPr>
        <w:rFonts w:cs="Times New Roman"/>
      </w:rPr>
    </w:lvl>
    <w:lvl w:ilvl="7">
      <w:start w:val="1"/>
      <w:numFmt w:val="decimal"/>
      <w:lvlText w:val="%1.%2.%3.%4.%5.%6.%7.%8."/>
      <w:lvlJc w:val="left"/>
      <w:pPr>
        <w:ind w:left="11803" w:hanging="1800"/>
      </w:pPr>
      <w:rPr>
        <w:rFonts w:cs="Times New Roman"/>
      </w:rPr>
    </w:lvl>
    <w:lvl w:ilvl="8">
      <w:start w:val="1"/>
      <w:numFmt w:val="decimal"/>
      <w:lvlText w:val="%1.%2.%3.%4.%5.%6.%7.%8.%9."/>
      <w:lvlJc w:val="left"/>
      <w:pPr>
        <w:ind w:left="13232" w:hanging="1800"/>
      </w:pPr>
      <w:rPr>
        <w:rFonts w:cs="Times New Roman"/>
      </w:rPr>
    </w:lvl>
  </w:abstractNum>
  <w:abstractNum w:abstractNumId="4">
    <w:nsid w:val="66797746"/>
    <w:multiLevelType w:val="hybridMultilevel"/>
    <w:tmpl w:val="12F6E6A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516240"/>
    <w:rsid w:val="001368D5"/>
    <w:rsid w:val="004B2328"/>
    <w:rsid w:val="00516240"/>
    <w:rsid w:val="00D910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24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516240"/>
    <w:pPr>
      <w:spacing w:after="0" w:line="240" w:lineRule="auto"/>
      <w:jc w:val="right"/>
    </w:pPr>
    <w:rPr>
      <w:rFonts w:ascii="Times New Roman" w:hAnsi="Times New Roman"/>
      <w:sz w:val="28"/>
      <w:szCs w:val="20"/>
      <w:lang w:eastAsia="zh-CN"/>
    </w:rPr>
  </w:style>
  <w:style w:type="character" w:customStyle="1" w:styleId="a4">
    <w:name w:val="Основной текст Знак"/>
    <w:basedOn w:val="a0"/>
    <w:link w:val="a3"/>
    <w:uiPriority w:val="99"/>
    <w:semiHidden/>
    <w:rsid w:val="00516240"/>
    <w:rPr>
      <w:rFonts w:ascii="Times New Roman" w:eastAsia="Times New Roman" w:hAnsi="Times New Roman" w:cs="Times New Roman"/>
      <w:sz w:val="28"/>
      <w:szCs w:val="20"/>
      <w:lang w:eastAsia="zh-CN"/>
    </w:rPr>
  </w:style>
  <w:style w:type="paragraph" w:styleId="a5">
    <w:name w:val="Body Text Indent"/>
    <w:basedOn w:val="a"/>
    <w:link w:val="a6"/>
    <w:uiPriority w:val="99"/>
    <w:semiHidden/>
    <w:unhideWhenUsed/>
    <w:rsid w:val="00516240"/>
    <w:pPr>
      <w:spacing w:after="120" w:line="240" w:lineRule="auto"/>
      <w:ind w:left="283"/>
    </w:pPr>
    <w:rPr>
      <w:rFonts w:ascii="Times New Roman" w:hAnsi="Times New Roman"/>
      <w:sz w:val="28"/>
      <w:szCs w:val="28"/>
    </w:rPr>
  </w:style>
  <w:style w:type="character" w:customStyle="1" w:styleId="a6">
    <w:name w:val="Основной текст с отступом Знак"/>
    <w:basedOn w:val="a0"/>
    <w:link w:val="a5"/>
    <w:uiPriority w:val="99"/>
    <w:semiHidden/>
    <w:rsid w:val="00516240"/>
    <w:rPr>
      <w:rFonts w:ascii="Times New Roman" w:eastAsia="Times New Roman" w:hAnsi="Times New Roman" w:cs="Times New Roman"/>
      <w:sz w:val="28"/>
      <w:szCs w:val="28"/>
      <w:lang w:eastAsia="ru-RU"/>
    </w:rPr>
  </w:style>
  <w:style w:type="paragraph" w:styleId="a7">
    <w:name w:val="List Paragraph"/>
    <w:basedOn w:val="a"/>
    <w:uiPriority w:val="99"/>
    <w:qFormat/>
    <w:rsid w:val="00516240"/>
    <w:pPr>
      <w:ind w:left="720"/>
      <w:contextualSpacing/>
    </w:pPr>
  </w:style>
  <w:style w:type="paragraph" w:customStyle="1" w:styleId="Style1">
    <w:name w:val="Style1"/>
    <w:basedOn w:val="a"/>
    <w:uiPriority w:val="99"/>
    <w:rsid w:val="00516240"/>
    <w:pPr>
      <w:widowControl w:val="0"/>
      <w:autoSpaceDE w:val="0"/>
      <w:autoSpaceDN w:val="0"/>
      <w:adjustRightInd w:val="0"/>
      <w:spacing w:after="0" w:line="240" w:lineRule="auto"/>
    </w:pPr>
    <w:rPr>
      <w:rFonts w:ascii="Times New Roman" w:hAnsi="Times New Roman"/>
      <w:sz w:val="24"/>
      <w:szCs w:val="24"/>
    </w:rPr>
  </w:style>
  <w:style w:type="paragraph" w:customStyle="1" w:styleId="ConsPlusNormal">
    <w:name w:val="ConsPlusNormal"/>
    <w:uiPriority w:val="99"/>
    <w:rsid w:val="0051624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20">
    <w:name w:val="Font Style20"/>
    <w:uiPriority w:val="99"/>
    <w:rsid w:val="00516240"/>
    <w:rPr>
      <w:rFonts w:ascii="Times New Roman" w:hAnsi="Times New Roman" w:cs="Times New Roman" w:hint="default"/>
      <w:b/>
      <w:bCs w:val="0"/>
      <w:sz w:val="30"/>
    </w:rPr>
  </w:style>
</w:styles>
</file>

<file path=word/webSettings.xml><?xml version="1.0" encoding="utf-8"?>
<w:webSettings xmlns:r="http://schemas.openxmlformats.org/officeDocument/2006/relationships" xmlns:w="http://schemas.openxmlformats.org/wordprocessingml/2006/main">
  <w:divs>
    <w:div w:id="94391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1545</Words>
  <Characters>8813</Characters>
  <Application>Microsoft Office Word</Application>
  <DocSecurity>0</DocSecurity>
  <Lines>73</Lines>
  <Paragraphs>20</Paragraphs>
  <ScaleCrop>false</ScaleCrop>
  <Company>DNS</Company>
  <LinksUpToDate>false</LinksUpToDate>
  <CharactersWithSpaces>10338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2020-12-23T06:06:00Z</dcterms:created>
  <dcterms:modified xsi:type="dcterms:W3CDTF">2020-12-23T06:07:00Z</dcterms:modified>
</cp:coreProperties>
</file>