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D7" w:rsidRDefault="00ED16D7" w:rsidP="00ED16D7">
      <w:pPr>
        <w:spacing w:after="0" w:line="360" w:lineRule="auto"/>
        <w:jc w:val="center"/>
        <w:rPr>
          <w:rFonts w:ascii="Times New Roman" w:hAnsi="Times New Roman"/>
          <w:b/>
          <w:sz w:val="28"/>
          <w:szCs w:val="28"/>
        </w:rPr>
      </w:pPr>
      <w:r w:rsidRPr="001F0A47">
        <w:rPr>
          <w:rFonts w:ascii="Times New Roman" w:hAnsi="Times New Roman"/>
          <w:b/>
          <w:sz w:val="28"/>
          <w:szCs w:val="28"/>
        </w:rPr>
        <w:t>Автономные учреждения</w:t>
      </w:r>
      <w:bookmarkStart w:id="0" w:name="_GoBack"/>
      <w:bookmarkEnd w:id="0"/>
    </w:p>
    <w:p w:rsidR="00ED16D7" w:rsidRPr="001F0A47" w:rsidRDefault="00ED16D7" w:rsidP="00ED16D7">
      <w:pPr>
        <w:spacing w:after="0" w:line="360" w:lineRule="auto"/>
        <w:jc w:val="center"/>
        <w:rPr>
          <w:rFonts w:ascii="Times New Roman" w:hAnsi="Times New Roman"/>
          <w:b/>
          <w:sz w:val="28"/>
          <w:szCs w:val="28"/>
        </w:rPr>
      </w:pPr>
    </w:p>
    <w:p w:rsidR="00ED16D7" w:rsidRDefault="00ED16D7" w:rsidP="00ED16D7">
      <w:pPr>
        <w:spacing w:after="0" w:line="360" w:lineRule="auto"/>
        <w:ind w:firstLine="709"/>
        <w:jc w:val="both"/>
        <w:rPr>
          <w:rFonts w:ascii="Times New Roman" w:eastAsia="TimesNewRomanPSMT" w:hAnsi="Times New Roman"/>
          <w:sz w:val="28"/>
          <w:szCs w:val="28"/>
        </w:rPr>
      </w:pPr>
      <w:r>
        <w:rPr>
          <w:rFonts w:ascii="Times New Roman" w:hAnsi="Times New Roman"/>
          <w:color w:val="000000"/>
          <w:sz w:val="28"/>
          <w:szCs w:val="28"/>
        </w:rPr>
        <w:t xml:space="preserve">Реорганизация структуры государственного и муниципального секторов в России как уже отмечалось выше довольно длительный процесс и принятие ФЗ №83 от </w:t>
      </w:r>
      <w:r w:rsidRPr="009670E1">
        <w:rPr>
          <w:rFonts w:ascii="Times New Roman" w:eastAsia="TimesNewRomanPSMT" w:hAnsi="Times New Roman"/>
          <w:sz w:val="28"/>
          <w:szCs w:val="28"/>
        </w:rPr>
        <w:t>8 мая 2010 г</w:t>
      </w:r>
      <w:r>
        <w:rPr>
          <w:rFonts w:ascii="Times New Roman" w:eastAsia="TimesNewRomanPSMT" w:hAnsi="Times New Roman"/>
          <w:sz w:val="28"/>
          <w:szCs w:val="28"/>
        </w:rPr>
        <w:t xml:space="preserve">. лишь один из ее этапов. </w:t>
      </w:r>
      <w:r w:rsidRPr="004666B3">
        <w:rPr>
          <w:rFonts w:ascii="Times New Roman" w:hAnsi="Times New Roman"/>
          <w:color w:val="000000"/>
          <w:sz w:val="28"/>
          <w:szCs w:val="28"/>
        </w:rPr>
        <w:t>Серьезная работа по реформированию государственного (муниципального) сектора экономики началась еще в начале 2000-</w:t>
      </w:r>
      <w:r w:rsidRPr="004666B3">
        <w:rPr>
          <w:rFonts w:ascii="Times New Roman" w:hAnsi="Times New Roman"/>
          <w:color w:val="000000"/>
          <w:sz w:val="28"/>
          <w:szCs w:val="28"/>
          <w:lang w:val="en-US"/>
        </w:rPr>
        <w:t>x</w:t>
      </w:r>
      <w:r w:rsidRPr="004666B3">
        <w:rPr>
          <w:rFonts w:ascii="Times New Roman" w:hAnsi="Times New Roman"/>
          <w:color w:val="000000"/>
          <w:sz w:val="28"/>
          <w:szCs w:val="28"/>
        </w:rPr>
        <w:t xml:space="preserve"> годов и была во многом связана с переосмыслением политики в сфере бюджетных расходов. Так, в Бюджетных посланиях Президента РФ В.В. Путина Федеральному собранию на 2002, 2003 гг. были определены направления оптимизации бюджетных расходов, среди которых отмечались задачи внедрения для части учебных заведений системы финансирования, исходя из результатов работы, осуществление замены принципа сметного финансирования. </w:t>
      </w:r>
      <w:r>
        <w:rPr>
          <w:rFonts w:ascii="Times New Roman" w:hAnsi="Times New Roman"/>
          <w:color w:val="000000"/>
          <w:sz w:val="28"/>
          <w:szCs w:val="28"/>
        </w:rPr>
        <w:t>Позже тезисы, звучавшие в посланиях, нашли свое выражение в принципах реструктуризации бюджетного сектора. В частности, среди них отмечалась необходимость уточнения статуса бюджетных учреждений и проведение их реструктуризации, оптимизация структуры получателей бюджетных средств, переход к новым формам финансирования деятельности по предоставлению государственных (муниципальных) услуг, внедрение бюджетирования, ориентированного на результат</w:t>
      </w:r>
      <w:r w:rsidRPr="008A4157">
        <w:rPr>
          <w:rFonts w:ascii="Times New Roman" w:hAnsi="Times New Roman"/>
          <w:color w:val="000000"/>
          <w:sz w:val="28"/>
          <w:szCs w:val="28"/>
        </w:rPr>
        <w:t>.</w:t>
      </w:r>
      <w:r>
        <w:rPr>
          <w:rStyle w:val="a7"/>
          <w:rFonts w:ascii="Times New Roman" w:hAnsi="Times New Roman"/>
          <w:color w:val="000000"/>
          <w:sz w:val="28"/>
          <w:szCs w:val="28"/>
        </w:rPr>
        <w:footnoteReference w:id="1"/>
      </w:r>
      <w:r w:rsidRPr="008A4157">
        <w:rPr>
          <w:rFonts w:ascii="Times New Roman" w:hAnsi="Times New Roman"/>
          <w:color w:val="000000"/>
          <w:sz w:val="28"/>
          <w:szCs w:val="28"/>
        </w:rPr>
        <w:t xml:space="preserve"> </w:t>
      </w:r>
      <w:r>
        <w:rPr>
          <w:rFonts w:ascii="Times New Roman" w:eastAsia="TimesNewRomanPSMT" w:hAnsi="Times New Roman"/>
          <w:sz w:val="28"/>
          <w:szCs w:val="28"/>
        </w:rPr>
        <w:t>О необходимости трансформации государственного сектора (муниципального сектора) как отмечает Д. Н. Зубарев упоминалось также в Программе социально-экономического развития Российской Федерации на 2002-2004 гг. Причем ее целью являлось снижение стоимости оказания и повышения качества предоставления государственных (муниципальных) услуг населению.</w:t>
      </w:r>
      <w:r>
        <w:rPr>
          <w:rStyle w:val="a7"/>
          <w:rFonts w:ascii="Times New Roman" w:eastAsia="TimesNewRomanPSMT" w:hAnsi="Times New Roman"/>
          <w:sz w:val="28"/>
          <w:szCs w:val="28"/>
        </w:rPr>
        <w:footnoteReference w:id="2"/>
      </w:r>
      <w:r>
        <w:rPr>
          <w:rFonts w:ascii="Times New Roman" w:eastAsia="TimesNewRomanPSMT" w:hAnsi="Times New Roman"/>
          <w:sz w:val="28"/>
          <w:szCs w:val="28"/>
        </w:rPr>
        <w:t xml:space="preserve"> </w:t>
      </w:r>
      <w:r>
        <w:rPr>
          <w:rFonts w:ascii="Times New Roman" w:hAnsi="Times New Roman"/>
          <w:color w:val="000000"/>
          <w:sz w:val="28"/>
          <w:szCs w:val="28"/>
        </w:rPr>
        <w:t xml:space="preserve">Одним из следствий проводимой политики стало принятие </w:t>
      </w:r>
      <w:r>
        <w:rPr>
          <w:rFonts w:ascii="Times New Roman" w:eastAsia="TimesNewRomanPSMT" w:hAnsi="Times New Roman"/>
          <w:sz w:val="28"/>
          <w:szCs w:val="28"/>
        </w:rPr>
        <w:t xml:space="preserve">ноябре 2006 г. Федерального закона № 174 «Об автономных учреждениях» и появление нового типа некоммерческой организации. </w:t>
      </w:r>
      <w:r>
        <w:rPr>
          <w:rFonts w:ascii="Times New Roman" w:hAnsi="Times New Roman"/>
          <w:color w:val="000000"/>
          <w:sz w:val="28"/>
          <w:szCs w:val="28"/>
        </w:rPr>
        <w:t xml:space="preserve">Рассмотрим ее сущность </w:t>
      </w:r>
      <w:r>
        <w:rPr>
          <w:rFonts w:ascii="Times New Roman" w:hAnsi="Times New Roman"/>
          <w:color w:val="000000"/>
          <w:sz w:val="28"/>
          <w:szCs w:val="28"/>
        </w:rPr>
        <w:lastRenderedPageBreak/>
        <w:t xml:space="preserve">и особенности функционирования. Согласно ФЗ № 174 Автономное учреждение представляет собой некоммерческую организацию, созданную Российской Федерацией, ее субъектом или муниципальным образованием для выполнения работ, оказания услуг в целях реализации полномочий органов государственной власти, местного самоуправления в разнообразных сферах: наука, образование, здравоохранение, культура, средства массовой информации, социальная защита, занятость населения, физическая культура и спорт и др. </w:t>
      </w:r>
    </w:p>
    <w:p w:rsidR="00ED16D7" w:rsidRDefault="00ED16D7" w:rsidP="00ED16D7">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Примерами подобных организаций в Забайкальском крае являются:</w:t>
      </w:r>
    </w:p>
    <w:p w:rsidR="00ED16D7" w:rsidRDefault="00ED16D7" w:rsidP="00ED16D7">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 Ингодинский филиал федерального государственного автономного учреждения «Управление лесного хозяйства» Министерства обороны Российской Федерации как пример учреждения федерального уровня;</w:t>
      </w:r>
    </w:p>
    <w:p w:rsidR="00ED16D7" w:rsidRDefault="00ED16D7" w:rsidP="00ED16D7">
      <w:pPr>
        <w:spacing w:after="0" w:line="360" w:lineRule="auto"/>
        <w:ind w:firstLine="709"/>
        <w:jc w:val="both"/>
        <w:rPr>
          <w:rFonts w:ascii="Times New Roman" w:hAnsi="Times New Roman"/>
          <w:sz w:val="28"/>
          <w:szCs w:val="28"/>
        </w:rPr>
      </w:pPr>
      <w:r w:rsidRPr="00E03B02">
        <w:rPr>
          <w:rFonts w:ascii="Times New Roman" w:eastAsia="TimesNewRomanPSMT" w:hAnsi="Times New Roman"/>
          <w:sz w:val="28"/>
          <w:szCs w:val="28"/>
        </w:rPr>
        <w:t>–</w:t>
      </w:r>
      <w:r w:rsidRPr="00E03B02">
        <w:rPr>
          <w:rFonts w:ascii="Times New Roman" w:hAnsi="Times New Roman"/>
          <w:sz w:val="28"/>
          <w:szCs w:val="28"/>
        </w:rPr>
        <w:t xml:space="preserve"> Государственное автономное профессиональное образовательное учреждение «Агинский медицинский колледж им. В. Л. Чимитдоржиева» </w:t>
      </w:r>
      <w:r>
        <w:rPr>
          <w:rFonts w:ascii="Times New Roman" w:hAnsi="Times New Roman"/>
          <w:sz w:val="28"/>
          <w:szCs w:val="28"/>
        </w:rPr>
        <w:t>как пример учреждения регионального уровня;</w:t>
      </w:r>
    </w:p>
    <w:p w:rsidR="00ED16D7" w:rsidRDefault="00ED16D7" w:rsidP="00ED16D7">
      <w:pPr>
        <w:spacing w:after="0" w:line="360" w:lineRule="auto"/>
        <w:ind w:firstLine="709"/>
        <w:jc w:val="both"/>
        <w:rPr>
          <w:rFonts w:ascii="Times New Roman" w:hAnsi="Times New Roman"/>
          <w:sz w:val="28"/>
          <w:szCs w:val="28"/>
        </w:rPr>
      </w:pPr>
      <w:r>
        <w:rPr>
          <w:rFonts w:ascii="Times New Roman" w:hAnsi="Times New Roman"/>
          <w:sz w:val="28"/>
          <w:szCs w:val="28"/>
        </w:rPr>
        <w:t>– Автономное редакционно-издательское учреждение «Приаргунская Заря» муниципального района «Приаргунский Район» как пример учреждения муниципального уровня власти.</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eastAsia="TimesNewRomanPSMT" w:hAnsi="Times New Roman"/>
          <w:sz w:val="28"/>
          <w:szCs w:val="28"/>
        </w:rPr>
        <w:t>В целом можно отметить, что общее количество некоммерческих организаций данного типа в Забайкальском крае невелико. Так согласно сведениям с официального сайта для размещения информации о государственных (муниципальных) учреждениях (</w:t>
      </w:r>
      <w:r w:rsidRPr="00F121E4">
        <w:rPr>
          <w:rFonts w:ascii="Times New Roman" w:hAnsi="Times New Roman"/>
          <w:color w:val="000000"/>
          <w:sz w:val="28"/>
          <w:szCs w:val="28"/>
        </w:rPr>
        <w:t>http://www.bus.gov.ru</w:t>
      </w:r>
      <w:r>
        <w:rPr>
          <w:rFonts w:ascii="Times New Roman" w:hAnsi="Times New Roman"/>
          <w:color w:val="000000"/>
          <w:sz w:val="28"/>
          <w:szCs w:val="28"/>
        </w:rPr>
        <w:t>) из 1901 учреждения в Забайкальском крае на 1 августа 2017 г.: 1591 является бюджетным, 208 казенным, 102 автономным. Такая ситуация обусловлена, на наш взгляд, особенностями функционирования данных учреждений, зафиксированными не только в двух упомянутых федеральных законах, но и в Бюджетном, Налоговом, Гражданском кодексах.</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частности, одна из специфических черт автономных учреждений проявляется в их органах управления, к которым чаще всего относится наблюдательный совет и руководитель учреждения. При этом не исключается </w:t>
      </w:r>
      <w:r>
        <w:rPr>
          <w:rFonts w:ascii="Times New Roman" w:hAnsi="Times New Roman"/>
          <w:color w:val="000000"/>
          <w:sz w:val="28"/>
          <w:szCs w:val="28"/>
        </w:rPr>
        <w:lastRenderedPageBreak/>
        <w:t>возможность наличия и других предусмотренных законодательством или уставом организации органов (например, ученый совет и др.).</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 наблюдательный совет представляет собой своеобразный надзорно-контрольный орган, формируемый из представителей</w:t>
      </w:r>
      <w:r w:rsidRPr="008F2C56">
        <w:rPr>
          <w:rFonts w:ascii="Times New Roman" w:hAnsi="Times New Roman"/>
          <w:color w:val="000000"/>
          <w:sz w:val="28"/>
          <w:szCs w:val="28"/>
        </w:rPr>
        <w:t xml:space="preserve"> учредителя, исполнительных органов государственной власти или </w:t>
      </w:r>
      <w:r>
        <w:rPr>
          <w:rFonts w:ascii="Times New Roman" w:hAnsi="Times New Roman"/>
          <w:color w:val="000000"/>
          <w:sz w:val="28"/>
          <w:szCs w:val="28"/>
        </w:rPr>
        <w:t>местного самоуправления, осуществляющих</w:t>
      </w:r>
      <w:r w:rsidRPr="008F2C56">
        <w:rPr>
          <w:rFonts w:ascii="Times New Roman" w:hAnsi="Times New Roman"/>
          <w:color w:val="000000"/>
          <w:sz w:val="28"/>
          <w:szCs w:val="28"/>
        </w:rPr>
        <w:t xml:space="preserve"> управление государственным или муниципальным имуществом,</w:t>
      </w:r>
      <w:r>
        <w:rPr>
          <w:rFonts w:ascii="Times New Roman" w:hAnsi="Times New Roman"/>
          <w:color w:val="000000"/>
          <w:sz w:val="28"/>
          <w:szCs w:val="28"/>
        </w:rPr>
        <w:t xml:space="preserve"> представителей</w:t>
      </w:r>
      <w:r w:rsidRPr="008F2C56">
        <w:rPr>
          <w:rFonts w:ascii="Times New Roman" w:hAnsi="Times New Roman"/>
          <w:color w:val="000000"/>
          <w:sz w:val="28"/>
          <w:szCs w:val="28"/>
        </w:rPr>
        <w:t xml:space="preserve"> общественности</w:t>
      </w:r>
      <w:r>
        <w:rPr>
          <w:rFonts w:ascii="Times New Roman" w:hAnsi="Times New Roman"/>
          <w:color w:val="000000"/>
          <w:sz w:val="28"/>
          <w:szCs w:val="28"/>
        </w:rPr>
        <w:t xml:space="preserve"> (в т.ч. имеющих заслуги в сфере деятельности учреждения). Также в состав совета могут входить представители иных государственных или муниципальных органов и представители работников учреждения (кроме руководителя организации и его замов). Общее число членов данного органа варьируется от 5 до 11 человек. Кроме этого, в законе определены нормы представительства участников. Так число представителей государственных (муниципальных) органов не должно превышать одной трети общего числа членов совета, при этом более половины из данного представительства должно отводится учредителю. Также не более одной трети от общего числа членов совета могут занимать представители работников автономного учреждения.</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 учетом того факта, что назначение членов наблюдательного совета, как и досрочное прекращение их полномочий принимается учредителем, то можно согласится с мнением С. А. Симкалова, отмечающего, что ст. 10 ФЗ № 174 позволяет сформировать совет на две трети из угодных людей.</w:t>
      </w:r>
      <w:r>
        <w:rPr>
          <w:rStyle w:val="a7"/>
          <w:rFonts w:ascii="Times New Roman" w:hAnsi="Times New Roman"/>
          <w:color w:val="000000"/>
          <w:sz w:val="28"/>
          <w:szCs w:val="28"/>
        </w:rPr>
        <w:footnoteReference w:id="3"/>
      </w:r>
      <w:r>
        <w:rPr>
          <w:rFonts w:ascii="Times New Roman" w:hAnsi="Times New Roman"/>
          <w:color w:val="000000"/>
          <w:sz w:val="28"/>
          <w:szCs w:val="28"/>
        </w:rPr>
        <w:t xml:space="preserve"> Полномочия данного органа весьма разнообразны. Так по ряду вопросов им разрабатываются рекомендации (изменение устава, создание или ликвидация филиалов, открытие, закрытие представительств, реорганизация или ликвидация учреждения, изъятие имущества, закрепленного на праве оперативного управления, сделки с имуществом, которым учреждение не может распоряжаться самостоятельно), по группе вопросов дается заключение (предложение об участии учреждения в других юридических лицах, проект </w:t>
      </w:r>
      <w:r>
        <w:rPr>
          <w:rFonts w:ascii="Times New Roman" w:hAnsi="Times New Roman"/>
          <w:color w:val="000000"/>
          <w:sz w:val="28"/>
          <w:szCs w:val="28"/>
        </w:rPr>
        <w:lastRenderedPageBreak/>
        <w:t>плана финансово-хозяйственной деятельности, выбор кредитной организации для открытия банковского счета). Так же в состав полномочий совета входит утверждение отдельных документов (проекты отчетов о деятельности, об использовании имущества, исполнении плана финансово-хозяйственной деятельности, годовая бухгалтерская отчетность) и принятие решений обязательных для руководителя учреждения относительно: совершения крупных сделок и сделок с заинтересованностью, проведения аудита бухгалтерской отчетности и утверждения аудиторской организации. Собственно, проведение независимого бухгалтерского аудита также является специфической чертой данной организации.</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Руководитель, назначаемый учредителем, в свою очередь осуществляет текущее руководство деятельностью учреждения.</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Также, как и для бюджетного учреждения, автономному выдается формируемое и утверждаемое учредителем государственное (муниципальное) задание, от выполнения которого организация не имеет возможности отказаться. Финансирование данного задания осуществляется в виде субсидий. Кроме этого автономному учреждению предоставляются субсидии на иные цели и бюджетные инвестиции. Дополнительным источником доходов для организации может являться выполнение основной, а также иных видов деятельности (если они указаны в учредительных документах и служат достижению цели создания учреждения) на платных условиях для физических и юридических лиц. Данными средствами организация распоряжается самостоятельно. Также особенностью финансирования учреждения является наличие возможности привлекать ссуды (займы), размещать средства на банковских депозитах. Таким образом данная некоммерческая организация имеет возможность открывать счета не только стандартно в территориальном органе Федерального казначейства, финансовом органе субъекта РФ или муниципального образования, но и в кредитных организациях.</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Помимо предоставления таких возможностей для самообеспечения, за рассматриваемой организацией учредителем на праве оперативного </w:t>
      </w:r>
      <w:r>
        <w:rPr>
          <w:rFonts w:ascii="Times New Roman" w:hAnsi="Times New Roman"/>
          <w:color w:val="000000"/>
          <w:sz w:val="28"/>
          <w:szCs w:val="28"/>
        </w:rPr>
        <w:lastRenderedPageBreak/>
        <w:t>управления закрепляется имущество. Земельный участок закрепляется за организацией на праве постоянного (бессрочного) пользования. При этом законом ограничивается самостоятельность распоряжения недвижимостью и особо ценным движимым имуществом, если данные активы закреплены учредителем или приобретены организацией за счет его средств. Остальным имуществом учреждение распоряжается самостоятельно. По своим обязательствам организация отвечает всем находящимся у нее на праве оперативного управления имуществом, исключая недвижимое и особо ценное движимое. Данный императив приводит к тому, что фактически по своим обязательствам автономное учреждение отвечает лишь денежными средствами. Если средств для погашения обязательств не хватает, то возникает правовой тупик, поскольку автономное и бюджетное учреждение не может подвергаться процедурам банкротства, а собственник имущества не несет субсидиарной ответственности по обязательствам учреждения (за исключением ущерба, связанного с причинением вреда гражданам). Как отмечает А. Я. Запорожан, такая ситуация может привести к тому, что автономные и бюджетные учреждения могут оказаться в «хозяйственном вакууме», когда с ними не захотят заключать договора сотрудничества вследствие отсутствия гарантии оплаты. Причем автономные учреждения, вследствие возможности оперирования накопленными средствами на депозитных счетах, находятся чуть в более благоприятном положении по сравнению с бюджетными.</w:t>
      </w:r>
      <w:r>
        <w:rPr>
          <w:rStyle w:val="a7"/>
          <w:rFonts w:ascii="Times New Roman" w:hAnsi="Times New Roman"/>
          <w:color w:val="000000"/>
          <w:sz w:val="28"/>
          <w:szCs w:val="28"/>
        </w:rPr>
        <w:footnoteReference w:id="4"/>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Кроме этого для обеспечения публичности и прозрачности функционирования автономного учреждения, законом вводится обязанность опубликовывать в средствах массовой информации, определенных учредителем, отчеты о деятельности и об использовании закрепленного имущества.</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Одним из достоинств рассматриваемого вида некоммерческой организации является также возможность работы при осуществлении закупок товаров, работ и услуг по ФЗ № 223 </w:t>
      </w:r>
      <w:r w:rsidRPr="001558CF">
        <w:rPr>
          <w:rFonts w:ascii="Times New Roman" w:hAnsi="Times New Roman"/>
          <w:color w:val="000000"/>
          <w:sz w:val="28"/>
          <w:szCs w:val="28"/>
        </w:rPr>
        <w:t>от 18 июля 2011</w:t>
      </w:r>
      <w:r>
        <w:rPr>
          <w:rFonts w:ascii="Times New Roman" w:hAnsi="Times New Roman"/>
          <w:color w:val="000000"/>
          <w:sz w:val="28"/>
          <w:szCs w:val="28"/>
        </w:rPr>
        <w:t xml:space="preserve"> г. Применение данного закона возможно при соблюдении ряда условий, к которым относится:</w:t>
      </w:r>
    </w:p>
    <w:p w:rsidR="00ED16D7" w:rsidRPr="00987239" w:rsidRDefault="00ED16D7" w:rsidP="00ED16D7">
      <w:pPr>
        <w:pStyle w:val="a3"/>
        <w:numPr>
          <w:ilvl w:val="0"/>
          <w:numId w:val="1"/>
        </w:numPr>
        <w:spacing w:after="0" w:line="360" w:lineRule="auto"/>
        <w:ind w:left="0" w:firstLine="709"/>
        <w:jc w:val="both"/>
        <w:rPr>
          <w:rFonts w:ascii="Times New Roman" w:hAnsi="Times New Roman"/>
          <w:color w:val="000000"/>
          <w:sz w:val="28"/>
          <w:szCs w:val="28"/>
        </w:rPr>
      </w:pPr>
      <w:r w:rsidRPr="00987239">
        <w:rPr>
          <w:rFonts w:ascii="Times New Roman" w:hAnsi="Times New Roman"/>
          <w:color w:val="000000"/>
          <w:sz w:val="28"/>
          <w:szCs w:val="28"/>
        </w:rPr>
        <w:t>выбор ответственных сотрудников;</w:t>
      </w:r>
    </w:p>
    <w:p w:rsidR="00ED16D7" w:rsidRPr="00987239" w:rsidRDefault="00ED16D7" w:rsidP="00ED16D7">
      <w:pPr>
        <w:pStyle w:val="a3"/>
        <w:numPr>
          <w:ilvl w:val="0"/>
          <w:numId w:val="1"/>
        </w:numPr>
        <w:spacing w:after="0" w:line="360" w:lineRule="auto"/>
        <w:ind w:left="0" w:firstLine="709"/>
        <w:jc w:val="both"/>
        <w:rPr>
          <w:rFonts w:ascii="Times New Roman" w:hAnsi="Times New Roman"/>
          <w:color w:val="000000"/>
          <w:sz w:val="28"/>
          <w:szCs w:val="28"/>
        </w:rPr>
      </w:pPr>
      <w:r w:rsidRPr="00987239">
        <w:rPr>
          <w:rFonts w:ascii="Times New Roman" w:hAnsi="Times New Roman"/>
          <w:color w:val="000000"/>
          <w:sz w:val="28"/>
          <w:szCs w:val="28"/>
        </w:rPr>
        <w:t>разработка и размещение в Единую информационную систему Положения о закупках и плана закупок товаров (услуг, работ).</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Стоит также отметить, что при осуществлении закупок на средства субсидий для капиталовложений в объекты государственной и муниципальной собственности организация должна руководствоваться ФЗ № 44.</w:t>
      </w:r>
    </w:p>
    <w:p w:rsidR="00ED16D7" w:rsidRDefault="00ED16D7" w:rsidP="00ED16D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налоговой системе по отношению к автономному учреждению также имеются свои особенности:</w:t>
      </w:r>
    </w:p>
    <w:p w:rsidR="00ED16D7" w:rsidRDefault="00ED16D7" w:rsidP="00ED16D7">
      <w:pPr>
        <w:spacing w:after="0" w:line="360" w:lineRule="auto"/>
        <w:ind w:firstLine="709"/>
        <w:jc w:val="both"/>
        <w:rPr>
          <w:rFonts w:ascii="Times New Roman" w:hAnsi="Times New Roman"/>
          <w:color w:val="000000"/>
          <w:sz w:val="28"/>
          <w:szCs w:val="28"/>
        </w:rPr>
      </w:pPr>
      <w:r w:rsidRPr="00FE4F2E">
        <w:rPr>
          <w:rFonts w:ascii="Times New Roman" w:hAnsi="Times New Roman"/>
          <w:i/>
          <w:color w:val="000000"/>
          <w:sz w:val="28"/>
          <w:szCs w:val="28"/>
        </w:rPr>
        <w:t>а) автономное учреждение не имеет возможности перехода на работу по ЕСХН (единый сельскохозяйственный налог)</w:t>
      </w:r>
      <w:r w:rsidRPr="00987239">
        <w:rPr>
          <w:rFonts w:ascii="Times New Roman" w:hAnsi="Times New Roman"/>
          <w:color w:val="000000"/>
          <w:sz w:val="28"/>
          <w:szCs w:val="28"/>
        </w:rPr>
        <w:t>;</w:t>
      </w:r>
    </w:p>
    <w:p w:rsidR="00ED16D7" w:rsidRPr="00FE4F2E" w:rsidRDefault="00ED16D7" w:rsidP="00ED16D7">
      <w:pPr>
        <w:spacing w:after="0" w:line="360" w:lineRule="auto"/>
        <w:ind w:firstLine="709"/>
        <w:jc w:val="both"/>
        <w:rPr>
          <w:rFonts w:ascii="Times New Roman" w:hAnsi="Times New Roman"/>
          <w:i/>
          <w:color w:val="000000"/>
          <w:sz w:val="28"/>
          <w:szCs w:val="28"/>
        </w:rPr>
      </w:pPr>
      <w:r w:rsidRPr="00FE4F2E">
        <w:rPr>
          <w:rFonts w:ascii="Times New Roman" w:hAnsi="Times New Roman"/>
          <w:i/>
          <w:color w:val="000000"/>
          <w:sz w:val="28"/>
          <w:szCs w:val="28"/>
        </w:rPr>
        <w:t>б) оно осуществляют уплату:</w:t>
      </w:r>
    </w:p>
    <w:p w:rsidR="00ED16D7" w:rsidRPr="00FE4F2E" w:rsidRDefault="00ED16D7" w:rsidP="00ED16D7">
      <w:pPr>
        <w:pStyle w:val="a3"/>
        <w:numPr>
          <w:ilvl w:val="0"/>
          <w:numId w:val="3"/>
        </w:numPr>
        <w:spacing w:after="0" w:line="360" w:lineRule="auto"/>
        <w:jc w:val="both"/>
        <w:rPr>
          <w:rFonts w:ascii="Times New Roman" w:hAnsi="Times New Roman"/>
          <w:color w:val="000000"/>
          <w:sz w:val="28"/>
          <w:szCs w:val="28"/>
        </w:rPr>
      </w:pPr>
      <w:r w:rsidRPr="00FE4F2E">
        <w:rPr>
          <w:rFonts w:ascii="Times New Roman" w:hAnsi="Times New Roman"/>
          <w:color w:val="000000"/>
          <w:sz w:val="28"/>
          <w:szCs w:val="28"/>
        </w:rPr>
        <w:t>земельного налога;</w:t>
      </w:r>
    </w:p>
    <w:p w:rsidR="00ED16D7" w:rsidRPr="00FE4F2E" w:rsidRDefault="00ED16D7" w:rsidP="00ED16D7">
      <w:pPr>
        <w:pStyle w:val="a3"/>
        <w:numPr>
          <w:ilvl w:val="0"/>
          <w:numId w:val="3"/>
        </w:numPr>
        <w:spacing w:after="0" w:line="360" w:lineRule="auto"/>
        <w:jc w:val="both"/>
        <w:rPr>
          <w:rFonts w:ascii="Times New Roman" w:hAnsi="Times New Roman"/>
          <w:color w:val="000000"/>
          <w:sz w:val="28"/>
          <w:szCs w:val="28"/>
        </w:rPr>
      </w:pPr>
      <w:r w:rsidRPr="00FE4F2E">
        <w:rPr>
          <w:rFonts w:ascii="Times New Roman" w:hAnsi="Times New Roman"/>
          <w:color w:val="000000"/>
          <w:sz w:val="28"/>
          <w:szCs w:val="28"/>
        </w:rPr>
        <w:t>транспортного налога;</w:t>
      </w:r>
    </w:p>
    <w:p w:rsidR="00ED16D7" w:rsidRPr="00FE4F2E" w:rsidRDefault="00ED16D7" w:rsidP="00ED16D7">
      <w:pPr>
        <w:pStyle w:val="a3"/>
        <w:numPr>
          <w:ilvl w:val="0"/>
          <w:numId w:val="3"/>
        </w:numPr>
        <w:spacing w:after="0" w:line="360" w:lineRule="auto"/>
        <w:jc w:val="both"/>
        <w:rPr>
          <w:rFonts w:ascii="Times New Roman" w:hAnsi="Times New Roman"/>
          <w:color w:val="000000"/>
          <w:sz w:val="28"/>
          <w:szCs w:val="28"/>
        </w:rPr>
      </w:pPr>
      <w:r w:rsidRPr="00FE4F2E">
        <w:rPr>
          <w:rFonts w:ascii="Times New Roman" w:hAnsi="Times New Roman"/>
          <w:color w:val="000000"/>
          <w:sz w:val="28"/>
          <w:szCs w:val="28"/>
        </w:rPr>
        <w:t>налога на имущество</w:t>
      </w:r>
    </w:p>
    <w:p w:rsidR="00ED16D7" w:rsidRPr="00FE4F2E" w:rsidRDefault="00ED16D7" w:rsidP="00ED16D7">
      <w:pPr>
        <w:pStyle w:val="a3"/>
        <w:numPr>
          <w:ilvl w:val="0"/>
          <w:numId w:val="3"/>
        </w:numPr>
        <w:spacing w:after="0" w:line="360" w:lineRule="auto"/>
        <w:jc w:val="both"/>
        <w:rPr>
          <w:rFonts w:ascii="Times New Roman" w:hAnsi="Times New Roman"/>
          <w:color w:val="000000"/>
          <w:sz w:val="28"/>
          <w:szCs w:val="28"/>
        </w:rPr>
      </w:pPr>
      <w:r w:rsidRPr="00FE4F2E">
        <w:rPr>
          <w:rFonts w:ascii="Times New Roman" w:hAnsi="Times New Roman"/>
          <w:color w:val="000000"/>
          <w:sz w:val="28"/>
          <w:szCs w:val="28"/>
        </w:rPr>
        <w:t>налог на добавленную стоимость (но объектом обложения НДС не признаются работы (услуги) в рамках государственного (муниципального) задания, где источник финансирования является субсидия из соответствующего бюджета);</w:t>
      </w:r>
    </w:p>
    <w:p w:rsidR="00ED16D7" w:rsidRPr="00FE4F2E" w:rsidRDefault="00ED16D7" w:rsidP="00ED16D7">
      <w:pPr>
        <w:pStyle w:val="a3"/>
        <w:numPr>
          <w:ilvl w:val="0"/>
          <w:numId w:val="3"/>
        </w:numPr>
        <w:spacing w:after="0" w:line="360" w:lineRule="auto"/>
        <w:jc w:val="both"/>
        <w:rPr>
          <w:rFonts w:ascii="Times New Roman" w:hAnsi="Times New Roman"/>
          <w:color w:val="000000"/>
          <w:sz w:val="28"/>
          <w:szCs w:val="28"/>
        </w:rPr>
      </w:pPr>
      <w:r w:rsidRPr="00FE4F2E">
        <w:rPr>
          <w:rFonts w:ascii="Times New Roman" w:hAnsi="Times New Roman"/>
          <w:color w:val="000000"/>
          <w:sz w:val="28"/>
          <w:szCs w:val="28"/>
        </w:rPr>
        <w:t>государственной пошлины;</w:t>
      </w:r>
    </w:p>
    <w:p w:rsidR="00ED16D7" w:rsidRDefault="00ED16D7" w:rsidP="00ED16D7">
      <w:pPr>
        <w:pStyle w:val="a3"/>
        <w:numPr>
          <w:ilvl w:val="0"/>
          <w:numId w:val="3"/>
        </w:numPr>
        <w:spacing w:after="0" w:line="360" w:lineRule="auto"/>
        <w:jc w:val="both"/>
        <w:rPr>
          <w:rFonts w:ascii="Times New Roman" w:hAnsi="Times New Roman"/>
          <w:color w:val="000000"/>
          <w:sz w:val="28"/>
          <w:szCs w:val="28"/>
        </w:rPr>
      </w:pPr>
      <w:r w:rsidRPr="00FE4F2E">
        <w:rPr>
          <w:rFonts w:ascii="Times New Roman" w:hAnsi="Times New Roman"/>
          <w:color w:val="000000"/>
          <w:sz w:val="28"/>
          <w:szCs w:val="28"/>
        </w:rPr>
        <w:t>налога на прибыль (с учетом ст. 251 НК РФ);</w:t>
      </w:r>
    </w:p>
    <w:p w:rsidR="00ED16D7" w:rsidRPr="00FE4F2E" w:rsidRDefault="00ED16D7" w:rsidP="00ED16D7">
      <w:pPr>
        <w:pStyle w:val="a3"/>
        <w:spacing w:after="0" w:line="360" w:lineRule="auto"/>
        <w:ind w:left="0" w:firstLine="709"/>
        <w:jc w:val="both"/>
        <w:rPr>
          <w:rFonts w:ascii="Times New Roman" w:hAnsi="Times New Roman"/>
          <w:color w:val="000000"/>
          <w:sz w:val="28"/>
          <w:szCs w:val="28"/>
        </w:rPr>
      </w:pPr>
      <w:r w:rsidRPr="00FE4F2E">
        <w:rPr>
          <w:rFonts w:ascii="Times New Roman" w:hAnsi="Times New Roman"/>
          <w:i/>
          <w:color w:val="000000"/>
          <w:sz w:val="28"/>
          <w:szCs w:val="28"/>
        </w:rPr>
        <w:t>в) может переходить на работу</w:t>
      </w:r>
      <w:r w:rsidRPr="00FE4F2E">
        <w:rPr>
          <w:rFonts w:ascii="Times New Roman" w:hAnsi="Times New Roman"/>
          <w:color w:val="000000"/>
          <w:sz w:val="28"/>
          <w:szCs w:val="28"/>
        </w:rPr>
        <w:t>:</w:t>
      </w:r>
    </w:p>
    <w:p w:rsidR="00ED16D7" w:rsidRPr="00FE4F2E" w:rsidRDefault="00ED16D7" w:rsidP="00ED16D7">
      <w:pPr>
        <w:pStyle w:val="a3"/>
        <w:numPr>
          <w:ilvl w:val="0"/>
          <w:numId w:val="4"/>
        </w:numPr>
        <w:spacing w:after="0" w:line="360" w:lineRule="auto"/>
        <w:ind w:left="0" w:firstLine="709"/>
        <w:jc w:val="both"/>
        <w:rPr>
          <w:rFonts w:ascii="Times New Roman" w:hAnsi="Times New Roman"/>
          <w:color w:val="000000"/>
          <w:sz w:val="28"/>
          <w:szCs w:val="28"/>
        </w:rPr>
      </w:pPr>
      <w:r w:rsidRPr="00FE4F2E">
        <w:rPr>
          <w:rFonts w:ascii="Times New Roman" w:hAnsi="Times New Roman"/>
          <w:color w:val="000000"/>
          <w:sz w:val="28"/>
          <w:szCs w:val="28"/>
        </w:rPr>
        <w:t>по ЕНВД;</w:t>
      </w:r>
    </w:p>
    <w:p w:rsidR="00ED16D7" w:rsidRPr="00FE4F2E" w:rsidRDefault="00ED16D7" w:rsidP="00ED16D7">
      <w:pPr>
        <w:pStyle w:val="a3"/>
        <w:numPr>
          <w:ilvl w:val="0"/>
          <w:numId w:val="4"/>
        </w:numPr>
        <w:spacing w:after="0" w:line="360" w:lineRule="auto"/>
        <w:ind w:left="0" w:firstLine="709"/>
        <w:jc w:val="both"/>
        <w:rPr>
          <w:rFonts w:ascii="Times New Roman" w:hAnsi="Times New Roman"/>
          <w:color w:val="000000"/>
          <w:sz w:val="28"/>
          <w:szCs w:val="28"/>
        </w:rPr>
      </w:pPr>
      <w:r w:rsidRPr="00FE4F2E">
        <w:rPr>
          <w:rFonts w:ascii="Times New Roman" w:hAnsi="Times New Roman"/>
          <w:color w:val="000000"/>
          <w:sz w:val="28"/>
          <w:szCs w:val="28"/>
        </w:rPr>
        <w:t>по УСН, что также является одним из дост</w:t>
      </w:r>
      <w:r>
        <w:rPr>
          <w:rFonts w:ascii="Times New Roman" w:hAnsi="Times New Roman"/>
          <w:color w:val="000000"/>
          <w:sz w:val="28"/>
          <w:szCs w:val="28"/>
        </w:rPr>
        <w:t>оинств данного типа учреждения.</w:t>
      </w:r>
    </w:p>
    <w:p w:rsidR="00F2536D" w:rsidRDefault="000C7AE9"/>
    <w:sectPr w:rsidR="00F253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E9" w:rsidRDefault="000C7AE9" w:rsidP="00ED16D7">
      <w:pPr>
        <w:spacing w:after="0" w:line="240" w:lineRule="auto"/>
      </w:pPr>
      <w:r>
        <w:separator/>
      </w:r>
    </w:p>
  </w:endnote>
  <w:endnote w:type="continuationSeparator" w:id="0">
    <w:p w:rsidR="000C7AE9" w:rsidRDefault="000C7AE9" w:rsidP="00ED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E9" w:rsidRDefault="000C7AE9" w:rsidP="00ED16D7">
      <w:pPr>
        <w:spacing w:after="0" w:line="240" w:lineRule="auto"/>
      </w:pPr>
      <w:r>
        <w:separator/>
      </w:r>
    </w:p>
  </w:footnote>
  <w:footnote w:type="continuationSeparator" w:id="0">
    <w:p w:rsidR="000C7AE9" w:rsidRDefault="000C7AE9" w:rsidP="00ED16D7">
      <w:pPr>
        <w:spacing w:after="0" w:line="240" w:lineRule="auto"/>
      </w:pPr>
      <w:r>
        <w:continuationSeparator/>
      </w:r>
    </w:p>
  </w:footnote>
  <w:footnote w:id="1">
    <w:p w:rsidR="00ED16D7" w:rsidRDefault="00ED16D7" w:rsidP="00ED16D7">
      <w:pPr>
        <w:pStyle w:val="a5"/>
        <w:jc w:val="both"/>
      </w:pPr>
      <w:r>
        <w:rPr>
          <w:rStyle w:val="a7"/>
        </w:rPr>
        <w:footnoteRef/>
      </w:r>
      <w:r>
        <w:t xml:space="preserve"> </w:t>
      </w:r>
      <w:r w:rsidRPr="005C58D3">
        <w:rPr>
          <w:rFonts w:ascii="Times New Roman" w:hAnsi="Times New Roman" w:cs="Times New Roman"/>
        </w:rPr>
        <w:t>Зубарев Д. Н. Повышение эффективности деятельности автономных учреждений в Российской Федерации // «Фундаментальные и прикладные исследования: новое слово в науке» сборник научных докладов международной научно</w:t>
      </w:r>
      <w:r>
        <w:rPr>
          <w:rFonts w:ascii="Times New Roman" w:hAnsi="Times New Roman" w:cs="Times New Roman"/>
        </w:rPr>
        <w:t>-практической конференции, 2016. С.38-61.</w:t>
      </w:r>
    </w:p>
  </w:footnote>
  <w:footnote w:id="2">
    <w:p w:rsidR="00ED16D7" w:rsidRPr="00F3703D" w:rsidRDefault="00ED16D7" w:rsidP="00ED16D7">
      <w:pPr>
        <w:pStyle w:val="a5"/>
        <w:jc w:val="both"/>
        <w:rPr>
          <w:rFonts w:ascii="Times New Roman" w:hAnsi="Times New Roman" w:cs="Times New Roman"/>
        </w:rPr>
      </w:pPr>
      <w:r>
        <w:rPr>
          <w:rStyle w:val="a7"/>
        </w:rPr>
        <w:footnoteRef/>
      </w:r>
      <w:r>
        <w:t xml:space="preserve"> </w:t>
      </w:r>
      <w:r w:rsidRPr="00F3703D">
        <w:rPr>
          <w:rFonts w:ascii="Times New Roman" w:hAnsi="Times New Roman" w:cs="Times New Roman"/>
        </w:rPr>
        <w:t>Там же С. 109.</w:t>
      </w:r>
    </w:p>
  </w:footnote>
  <w:footnote w:id="3">
    <w:p w:rsidR="00ED16D7" w:rsidRDefault="00ED16D7" w:rsidP="00ED16D7">
      <w:pPr>
        <w:pStyle w:val="a5"/>
        <w:jc w:val="both"/>
      </w:pPr>
      <w:r>
        <w:rPr>
          <w:rStyle w:val="a7"/>
        </w:rPr>
        <w:footnoteRef/>
      </w:r>
      <w:r>
        <w:t xml:space="preserve"> </w:t>
      </w:r>
      <w:r w:rsidRPr="005C58D3">
        <w:rPr>
          <w:rFonts w:ascii="Times New Roman" w:hAnsi="Times New Roman" w:cs="Times New Roman"/>
        </w:rPr>
        <w:t>Симкалов С.</w:t>
      </w:r>
      <w:r>
        <w:rPr>
          <w:rFonts w:ascii="Times New Roman" w:hAnsi="Times New Roman" w:cs="Times New Roman"/>
        </w:rPr>
        <w:t xml:space="preserve"> </w:t>
      </w:r>
      <w:r w:rsidRPr="005C58D3">
        <w:rPr>
          <w:rFonts w:ascii="Times New Roman" w:hAnsi="Times New Roman" w:cs="Times New Roman"/>
        </w:rPr>
        <w:t>А. Наблюдательный совет как орган управления автономны учреждением в сфере образования // Известия Московского государственного индустриального университета. 2009</w:t>
      </w:r>
      <w:r>
        <w:rPr>
          <w:rFonts w:ascii="Times New Roman" w:hAnsi="Times New Roman" w:cs="Times New Roman"/>
        </w:rPr>
        <w:t>. № 2 (15). С. 97.</w:t>
      </w:r>
    </w:p>
  </w:footnote>
  <w:footnote w:id="4">
    <w:p w:rsidR="00ED16D7" w:rsidRPr="005C58D3" w:rsidRDefault="00ED16D7" w:rsidP="00ED16D7">
      <w:pPr>
        <w:pStyle w:val="a5"/>
        <w:jc w:val="both"/>
        <w:rPr>
          <w:rFonts w:ascii="Times New Roman" w:hAnsi="Times New Roman" w:cs="Times New Roman"/>
        </w:rPr>
      </w:pPr>
      <w:r>
        <w:rPr>
          <w:rStyle w:val="a7"/>
        </w:rPr>
        <w:footnoteRef/>
      </w:r>
      <w:r>
        <w:t xml:space="preserve"> </w:t>
      </w:r>
      <w:r w:rsidRPr="00FD3CF6">
        <w:rPr>
          <w:rFonts w:ascii="Times New Roman" w:hAnsi="Times New Roman" w:cs="Times New Roman"/>
        </w:rPr>
        <w:t>Запорожан А. Я. Государственное задание бюджетным и автономным учреждениям: проблематика планирования, финансирования и исполнения // Материалы VII Международной научно-практической конференции «Государство и бизнес. Современные проблемы экономики», Санкт-Петербург</w:t>
      </w:r>
      <w:r>
        <w:rPr>
          <w:rFonts w:ascii="Times New Roman" w:hAnsi="Times New Roman" w:cs="Times New Roman"/>
        </w:rPr>
        <w:t xml:space="preserve">. </w:t>
      </w:r>
      <w:r w:rsidRPr="00FD3CF6">
        <w:rPr>
          <w:rFonts w:ascii="Times New Roman" w:hAnsi="Times New Roman" w:cs="Times New Roman"/>
        </w:rPr>
        <w:t>2015.</w:t>
      </w:r>
      <w:r>
        <w:rPr>
          <w:rFonts w:ascii="Times New Roman" w:hAnsi="Times New Roman" w:cs="Times New Roman"/>
        </w:rPr>
        <w:t xml:space="preserve"> </w:t>
      </w:r>
      <w:r w:rsidRPr="00FD3CF6">
        <w:rPr>
          <w:rFonts w:ascii="Times New Roman" w:hAnsi="Times New Roman" w:cs="Times New Roman"/>
        </w:rPr>
        <w:t>С.</w:t>
      </w:r>
      <w:r>
        <w:rPr>
          <w:rFonts w:ascii="Times New Roman" w:hAnsi="Times New Roman" w:cs="Times New Roman"/>
        </w:rPr>
        <w:t xml:space="preserve"> </w:t>
      </w:r>
      <w:r w:rsidRPr="00FD3CF6">
        <w:rPr>
          <w:rFonts w:ascii="Times New Roman" w:hAnsi="Times New Roman" w:cs="Times New Roman"/>
        </w:rPr>
        <w:t>54-60</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14BF"/>
    <w:multiLevelType w:val="hybridMultilevel"/>
    <w:tmpl w:val="8D7E919A"/>
    <w:lvl w:ilvl="0" w:tplc="D6480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8BD25A5"/>
    <w:multiLevelType w:val="hybridMultilevel"/>
    <w:tmpl w:val="281292D0"/>
    <w:lvl w:ilvl="0" w:tplc="D6480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656822"/>
    <w:multiLevelType w:val="hybridMultilevel"/>
    <w:tmpl w:val="E9203802"/>
    <w:lvl w:ilvl="0" w:tplc="A8568F0E">
      <w:start w:val="2"/>
      <w:numFmt w:val="bullet"/>
      <w:lvlText w:val="–"/>
      <w:lvlJc w:val="left"/>
      <w:pPr>
        <w:ind w:left="1429" w:hanging="360"/>
      </w:pPr>
      <w:rPr>
        <w:rFonts w:ascii="Times New Roman" w:eastAsiaTheme="minorEastAsia"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7B820BC"/>
    <w:multiLevelType w:val="hybridMultilevel"/>
    <w:tmpl w:val="2EB07A1E"/>
    <w:lvl w:ilvl="0" w:tplc="A8568F0E">
      <w:start w:val="2"/>
      <w:numFmt w:val="bullet"/>
      <w:lvlText w:val="–"/>
      <w:lvlJc w:val="left"/>
      <w:pPr>
        <w:ind w:left="1429" w:hanging="360"/>
      </w:pPr>
      <w:rPr>
        <w:rFonts w:ascii="Times New Roman" w:eastAsiaTheme="minorEastAsia"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8E"/>
    <w:rsid w:val="00067602"/>
    <w:rsid w:val="00092816"/>
    <w:rsid w:val="000C7AE9"/>
    <w:rsid w:val="00223597"/>
    <w:rsid w:val="003411BD"/>
    <w:rsid w:val="004D658E"/>
    <w:rsid w:val="00B602E3"/>
    <w:rsid w:val="00C21186"/>
    <w:rsid w:val="00CF208E"/>
    <w:rsid w:val="00E34596"/>
    <w:rsid w:val="00ED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6E8BC-82C8-4A7C-B55C-D0A3778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6D7"/>
    <w:pPr>
      <w:spacing w:line="256" w:lineRule="auto"/>
      <w:ind w:left="720"/>
      <w:contextualSpacing/>
    </w:pPr>
  </w:style>
  <w:style w:type="paragraph" w:customStyle="1" w:styleId="Default">
    <w:name w:val="Default"/>
    <w:rsid w:val="00ED16D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ED16D7"/>
    <w:pPr>
      <w:spacing w:line="240" w:lineRule="atLeast"/>
    </w:pPr>
    <w:rPr>
      <w:rFonts w:eastAsiaTheme="minorEastAsia"/>
      <w:color w:val="auto"/>
      <w:lang w:eastAsia="ru-RU"/>
    </w:rPr>
  </w:style>
  <w:style w:type="character" w:styleId="a4">
    <w:name w:val="Hyperlink"/>
    <w:basedOn w:val="a0"/>
    <w:uiPriority w:val="99"/>
    <w:unhideWhenUsed/>
    <w:rsid w:val="00ED16D7"/>
    <w:rPr>
      <w:rFonts w:cs="Times New Roman"/>
      <w:color w:val="0563C1" w:themeColor="hyperlink"/>
      <w:u w:val="single"/>
    </w:rPr>
  </w:style>
  <w:style w:type="paragraph" w:styleId="a5">
    <w:name w:val="footnote text"/>
    <w:basedOn w:val="a"/>
    <w:link w:val="a6"/>
    <w:uiPriority w:val="99"/>
    <w:semiHidden/>
    <w:unhideWhenUsed/>
    <w:rsid w:val="00ED16D7"/>
    <w:pPr>
      <w:spacing w:after="0" w:line="240" w:lineRule="auto"/>
    </w:pPr>
    <w:rPr>
      <w:sz w:val="20"/>
      <w:szCs w:val="20"/>
    </w:rPr>
  </w:style>
  <w:style w:type="character" w:customStyle="1" w:styleId="a6">
    <w:name w:val="Текст сноски Знак"/>
    <w:basedOn w:val="a0"/>
    <w:link w:val="a5"/>
    <w:uiPriority w:val="99"/>
    <w:semiHidden/>
    <w:rsid w:val="00ED16D7"/>
    <w:rPr>
      <w:sz w:val="20"/>
      <w:szCs w:val="20"/>
    </w:rPr>
  </w:style>
  <w:style w:type="character" w:styleId="a7">
    <w:name w:val="footnote reference"/>
    <w:basedOn w:val="a0"/>
    <w:uiPriority w:val="99"/>
    <w:semiHidden/>
    <w:unhideWhenUsed/>
    <w:rsid w:val="00ED1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79144394288</cp:lastModifiedBy>
  <cp:revision>3</cp:revision>
  <dcterms:created xsi:type="dcterms:W3CDTF">2017-10-06T13:36:00Z</dcterms:created>
  <dcterms:modified xsi:type="dcterms:W3CDTF">2020-12-15T06:01:00Z</dcterms:modified>
</cp:coreProperties>
</file>