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50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октября 2020</w:t>
      </w:r>
    </w:p>
    <w:p w:rsidR="00995E50" w:rsidRPr="00041355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 w:rsidRPr="00041355">
        <w:rPr>
          <w:rFonts w:ascii="Times New Roman" w:hAnsi="Times New Roman" w:cs="Times New Roman"/>
          <w:sz w:val="28"/>
          <w:szCs w:val="28"/>
        </w:rPr>
        <w:t>МУЗ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41355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995E50" w:rsidRPr="00041355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 w:rsidRPr="00041355">
        <w:rPr>
          <w:rFonts w:ascii="Times New Roman" w:hAnsi="Times New Roman" w:cs="Times New Roman"/>
          <w:sz w:val="28"/>
          <w:szCs w:val="28"/>
        </w:rPr>
        <w:t xml:space="preserve">ОМТЗ </w:t>
      </w:r>
    </w:p>
    <w:p w:rsidR="00995E50" w:rsidRPr="00041355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:rsidR="00995E50" w:rsidRPr="00041355" w:rsidRDefault="00995E50" w:rsidP="00995E50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Pr="00041355" w:rsidRDefault="00995E50" w:rsidP="00995E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Теория  контрапункта</w:t>
      </w:r>
    </w:p>
    <w:p w:rsidR="00995E50" w:rsidRDefault="00951DF0" w:rsidP="00995E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951DF0" w:rsidRDefault="00951DF0" w:rsidP="00951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 фактуре. </w:t>
      </w:r>
    </w:p>
    <w:p w:rsidR="00951DF0" w:rsidRDefault="00951DF0" w:rsidP="00951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контрапункт</w:t>
      </w:r>
      <w:r w:rsidR="004F0EA7">
        <w:rPr>
          <w:rFonts w:ascii="Times New Roman" w:hAnsi="Times New Roman" w:cs="Times New Roman"/>
          <w:sz w:val="28"/>
          <w:szCs w:val="28"/>
        </w:rPr>
        <w:t xml:space="preserve"> и сложный</w:t>
      </w:r>
    </w:p>
    <w:p w:rsidR="00951DF0" w:rsidRDefault="004F0EA7" w:rsidP="00951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51DF0">
        <w:rPr>
          <w:rFonts w:ascii="Times New Roman" w:hAnsi="Times New Roman" w:cs="Times New Roman"/>
          <w:sz w:val="28"/>
          <w:szCs w:val="28"/>
        </w:rPr>
        <w:t>иды</w:t>
      </w:r>
      <w:r>
        <w:rPr>
          <w:rFonts w:ascii="Times New Roman" w:hAnsi="Times New Roman" w:cs="Times New Roman"/>
          <w:sz w:val="28"/>
          <w:szCs w:val="28"/>
        </w:rPr>
        <w:t xml:space="preserve"> сложного контрапункта</w:t>
      </w:r>
    </w:p>
    <w:p w:rsidR="00951DF0" w:rsidRDefault="00951DF0" w:rsidP="00951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</w:t>
      </w:r>
    </w:p>
    <w:p w:rsidR="00951DF0" w:rsidRPr="00951DF0" w:rsidRDefault="00951DF0" w:rsidP="00951D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DF0">
        <w:rPr>
          <w:rFonts w:ascii="Times New Roman" w:hAnsi="Times New Roman" w:cs="Times New Roman"/>
          <w:sz w:val="28"/>
          <w:szCs w:val="28"/>
        </w:rPr>
        <w:t>Задания</w:t>
      </w:r>
    </w:p>
    <w:p w:rsidR="00995E50" w:rsidRDefault="00995E50" w:rsidP="00995E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1DF0" w:rsidRPr="004F0EA7" w:rsidRDefault="00951DF0" w:rsidP="00951D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EA7">
        <w:rPr>
          <w:rFonts w:ascii="Times New Roman" w:hAnsi="Times New Roman" w:cs="Times New Roman"/>
          <w:sz w:val="28"/>
          <w:szCs w:val="28"/>
          <w:u w:val="single"/>
        </w:rPr>
        <w:t>Понятие о фактуре</w:t>
      </w:r>
    </w:p>
    <w:p w:rsidR="00951DF0" w:rsidRPr="00951DF0" w:rsidRDefault="00951DF0" w:rsidP="00951DF0">
      <w:pPr>
        <w:jc w:val="both"/>
        <w:rPr>
          <w:rFonts w:ascii="Times New Roman" w:hAnsi="Times New Roman" w:cs="Times New Roman"/>
          <w:sz w:val="28"/>
          <w:szCs w:val="28"/>
        </w:rPr>
      </w:pPr>
      <w:r w:rsidRPr="00951DF0">
        <w:rPr>
          <w:rFonts w:ascii="Times New Roman" w:hAnsi="Times New Roman" w:cs="Times New Roman"/>
          <w:sz w:val="28"/>
          <w:szCs w:val="28"/>
        </w:rPr>
        <w:t>Музыкальная мысль может быть изложена различными способами. Музыка подобно ткани складывается из различных компонентов, таких как мелодия,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DF0">
        <w:rPr>
          <w:rFonts w:ascii="Times New Roman" w:hAnsi="Times New Roman" w:cs="Times New Roman"/>
          <w:sz w:val="28"/>
          <w:szCs w:val="28"/>
        </w:rPr>
        <w:t>сопровождающие ее голоса, выдержанные звуки и т.д. Весь этот комплекс средств называется фактурой.</w:t>
      </w:r>
    </w:p>
    <w:p w:rsidR="004F0EA7" w:rsidRDefault="00951DF0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b/>
          <w:sz w:val="28"/>
          <w:szCs w:val="28"/>
        </w:rPr>
        <w:t>Фактура – способ изложения музыкальной ткани</w:t>
      </w:r>
      <w:r w:rsidRPr="00951DF0">
        <w:rPr>
          <w:rFonts w:ascii="Times New Roman" w:hAnsi="Times New Roman" w:cs="Times New Roman"/>
          <w:sz w:val="28"/>
          <w:szCs w:val="28"/>
        </w:rPr>
        <w:t>.</w:t>
      </w:r>
    </w:p>
    <w:p w:rsidR="00995E50" w:rsidRDefault="00951DF0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951DF0">
        <w:rPr>
          <w:rFonts w:ascii="Times New Roman" w:hAnsi="Times New Roman" w:cs="Times New Roman"/>
          <w:sz w:val="28"/>
          <w:szCs w:val="28"/>
        </w:rPr>
        <w:t>В художественной практике фактура бывает различной по плотности. Это</w:t>
      </w:r>
      <w:r w:rsidR="004F0EA7">
        <w:rPr>
          <w:rFonts w:ascii="Times New Roman" w:hAnsi="Times New Roman" w:cs="Times New Roman"/>
          <w:sz w:val="28"/>
          <w:szCs w:val="28"/>
        </w:rPr>
        <w:t xml:space="preserve"> </w:t>
      </w:r>
      <w:r w:rsidRPr="00951DF0">
        <w:rPr>
          <w:rFonts w:ascii="Times New Roman" w:hAnsi="Times New Roman" w:cs="Times New Roman"/>
          <w:sz w:val="28"/>
          <w:szCs w:val="28"/>
        </w:rPr>
        <w:t>зависит от количества слагающих ее голосов (от одного до нескольких десятков).</w:t>
      </w:r>
      <w:r w:rsidR="004F0EA7">
        <w:rPr>
          <w:rFonts w:ascii="Times New Roman" w:hAnsi="Times New Roman" w:cs="Times New Roman"/>
          <w:sz w:val="28"/>
          <w:szCs w:val="28"/>
        </w:rPr>
        <w:t xml:space="preserve"> </w:t>
      </w:r>
      <w:r w:rsidRPr="00951DF0">
        <w:rPr>
          <w:rFonts w:ascii="Times New Roman" w:hAnsi="Times New Roman" w:cs="Times New Roman"/>
          <w:sz w:val="28"/>
          <w:szCs w:val="28"/>
        </w:rPr>
        <w:t xml:space="preserve">Часто слово фактура заменяют сходным по значению словом склад. </w:t>
      </w:r>
      <w:r w:rsidR="004F0EA7">
        <w:rPr>
          <w:rFonts w:ascii="Times New Roman" w:hAnsi="Times New Roman" w:cs="Times New Roman"/>
          <w:sz w:val="28"/>
          <w:szCs w:val="28"/>
        </w:rPr>
        <w:t xml:space="preserve">  </w:t>
      </w:r>
      <w:r w:rsidRPr="00951DF0">
        <w:rPr>
          <w:rFonts w:ascii="Times New Roman" w:hAnsi="Times New Roman" w:cs="Times New Roman"/>
          <w:sz w:val="28"/>
          <w:szCs w:val="28"/>
        </w:rPr>
        <w:t xml:space="preserve">В настоящее время известны два основных типа фактуры: </w:t>
      </w:r>
      <w:r w:rsidRPr="004F0EA7">
        <w:rPr>
          <w:rFonts w:ascii="Times New Roman" w:hAnsi="Times New Roman" w:cs="Times New Roman"/>
          <w:b/>
          <w:sz w:val="28"/>
          <w:szCs w:val="28"/>
        </w:rPr>
        <w:t>гомофония и полифония.</w:t>
      </w:r>
      <w:r w:rsidRPr="00951DF0">
        <w:rPr>
          <w:rFonts w:ascii="Times New Roman" w:hAnsi="Times New Roman" w:cs="Times New Roman"/>
          <w:sz w:val="28"/>
          <w:szCs w:val="28"/>
        </w:rPr>
        <w:t xml:space="preserve"> Смешанный тип появляется при взаимодействии двух первых.</w:t>
      </w:r>
    </w:p>
    <w:p w:rsidR="00000000" w:rsidRPr="004F0EA7" w:rsidRDefault="003D0A12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b/>
          <w:sz w:val="28"/>
          <w:szCs w:val="28"/>
        </w:rPr>
        <w:t>Гомофония</w:t>
      </w:r>
      <w:r w:rsidRPr="004F0EA7">
        <w:rPr>
          <w:rFonts w:ascii="Times New Roman" w:hAnsi="Times New Roman" w:cs="Times New Roman"/>
          <w:sz w:val="28"/>
          <w:szCs w:val="28"/>
        </w:rPr>
        <w:t xml:space="preserve"> - (от греч</w:t>
      </w:r>
      <w:proofErr w:type="gramStart"/>
      <w:r w:rsidRPr="004F0E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0EA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F0EA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0EA7">
        <w:rPr>
          <w:rFonts w:ascii="Times New Roman" w:hAnsi="Times New Roman" w:cs="Times New Roman"/>
          <w:sz w:val="28"/>
          <w:szCs w:val="28"/>
        </w:rPr>
        <w:t>омо» – человек, «фон» – звук, голос). Гомофония или гомофонно-гармоническая факт</w:t>
      </w:r>
      <w:r w:rsidRPr="004F0EA7">
        <w:rPr>
          <w:rFonts w:ascii="Times New Roman" w:hAnsi="Times New Roman" w:cs="Times New Roman"/>
          <w:sz w:val="28"/>
          <w:szCs w:val="28"/>
        </w:rPr>
        <w:t>ура – одно и то же.</w:t>
      </w:r>
    </w:p>
    <w:p w:rsidR="00000000" w:rsidRPr="004F0EA7" w:rsidRDefault="003D0A12" w:rsidP="004F0EA7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>Гомофонно-гармоническая ф</w:t>
      </w:r>
      <w:r w:rsidR="004F0EA7">
        <w:rPr>
          <w:rFonts w:ascii="Times New Roman" w:hAnsi="Times New Roman" w:cs="Times New Roman"/>
          <w:sz w:val="28"/>
          <w:szCs w:val="28"/>
        </w:rPr>
        <w:t xml:space="preserve">актура складывается из мелодии и </w:t>
      </w:r>
      <w:r w:rsidRPr="004F0EA7">
        <w:rPr>
          <w:rFonts w:ascii="Times New Roman" w:hAnsi="Times New Roman" w:cs="Times New Roman"/>
          <w:sz w:val="28"/>
          <w:szCs w:val="28"/>
        </w:rPr>
        <w:t>сопровождения. Она утвердилась в музыке венских классиков (вторая половина XVIII века) и является наиболее распространенной фактурой до наших дней.</w:t>
      </w:r>
    </w:p>
    <w:p w:rsidR="00000000" w:rsidRPr="004F0EA7" w:rsidRDefault="003D0A12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>Аккордовая фактура - предст</w:t>
      </w:r>
      <w:r w:rsidRPr="004F0EA7">
        <w:rPr>
          <w:rFonts w:ascii="Times New Roman" w:hAnsi="Times New Roman" w:cs="Times New Roman"/>
          <w:sz w:val="28"/>
          <w:szCs w:val="28"/>
        </w:rPr>
        <w:t xml:space="preserve">авляет собой аккордовое изложение без ярко выраженной мелодии. </w:t>
      </w:r>
      <w:proofErr w:type="gramStart"/>
      <w:r w:rsidRPr="004F0EA7">
        <w:rPr>
          <w:rFonts w:ascii="Times New Roman" w:hAnsi="Times New Roman" w:cs="Times New Roman"/>
          <w:sz w:val="28"/>
          <w:szCs w:val="28"/>
        </w:rPr>
        <w:t xml:space="preserve">Примерами могут служить церковные песнопения – </w:t>
      </w:r>
      <w:r w:rsidRPr="004F0EA7">
        <w:rPr>
          <w:rFonts w:ascii="Times New Roman" w:hAnsi="Times New Roman" w:cs="Times New Roman"/>
          <w:sz w:val="28"/>
          <w:szCs w:val="28"/>
        </w:rPr>
        <w:lastRenderedPageBreak/>
        <w:t>хоралы (довольно часто такую фактуру так и называют</w:t>
      </w:r>
      <w:proofErr w:type="gramEnd"/>
      <w:r w:rsidRPr="004F0E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0EA7">
        <w:rPr>
          <w:rFonts w:ascii="Times New Roman" w:hAnsi="Times New Roman" w:cs="Times New Roman"/>
          <w:sz w:val="28"/>
          <w:szCs w:val="28"/>
        </w:rPr>
        <w:t>хоральной), к ней относятся инструментальные и хоровые произведения аккордового склада.</w:t>
      </w:r>
      <w:proofErr w:type="gramEnd"/>
    </w:p>
    <w:p w:rsidR="004F0EA7" w:rsidRP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b/>
          <w:sz w:val="28"/>
          <w:szCs w:val="28"/>
        </w:rPr>
        <w:t>Полифония</w:t>
      </w:r>
      <w:r w:rsidRPr="004F0EA7">
        <w:rPr>
          <w:rFonts w:ascii="Times New Roman" w:hAnsi="Times New Roman" w:cs="Times New Roman"/>
          <w:sz w:val="28"/>
          <w:szCs w:val="28"/>
        </w:rPr>
        <w:t xml:space="preserve"> (от греч</w:t>
      </w:r>
      <w:proofErr w:type="gramStart"/>
      <w:r w:rsidRPr="004F0E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0EA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F0EA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0EA7">
        <w:rPr>
          <w:rFonts w:ascii="Times New Roman" w:hAnsi="Times New Roman" w:cs="Times New Roman"/>
          <w:sz w:val="28"/>
          <w:szCs w:val="28"/>
        </w:rPr>
        <w:t>оли» - много и «фон» - звук, голос) – более древняя, чем гомофоническая, она достигла расцвета в эпоху Барокко (XVII век – первая половина XVIII века). Это тип многоголосия, в котором два или более голосов, имеют самостоятельное мелодическое значение («равенство» всех голосов).</w:t>
      </w:r>
    </w:p>
    <w:p w:rsidR="004F0EA7" w:rsidRDefault="004F0EA7" w:rsidP="004F0E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 xml:space="preserve">Полифоническая фактура бывает трех разновидностей: </w:t>
      </w:r>
      <w:r w:rsidRPr="004F0EA7">
        <w:rPr>
          <w:rFonts w:ascii="Times New Roman" w:hAnsi="Times New Roman" w:cs="Times New Roman"/>
          <w:b/>
          <w:sz w:val="28"/>
          <w:szCs w:val="28"/>
        </w:rPr>
        <w:t>контрастная, имитационная,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EA7">
        <w:rPr>
          <w:rFonts w:ascii="Times New Roman" w:hAnsi="Times New Roman" w:cs="Times New Roman"/>
          <w:b/>
          <w:sz w:val="28"/>
          <w:szCs w:val="28"/>
        </w:rPr>
        <w:t>подголосочная.</w:t>
      </w:r>
    </w:p>
    <w:p w:rsidR="004F0EA7" w:rsidRDefault="004F0EA7" w:rsidP="004F0E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EA7" w:rsidRPr="004F0EA7" w:rsidRDefault="004F0EA7" w:rsidP="004F0E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EA7">
        <w:rPr>
          <w:rFonts w:ascii="Times New Roman" w:hAnsi="Times New Roman" w:cs="Times New Roman"/>
          <w:sz w:val="28"/>
          <w:szCs w:val="28"/>
          <w:u w:val="single"/>
        </w:rPr>
        <w:t>Простой контрапункт</w:t>
      </w:r>
    </w:p>
    <w:p w:rsid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 xml:space="preserve">Контрапункт (лат. </w:t>
      </w:r>
      <w:proofErr w:type="spellStart"/>
      <w:r w:rsidRPr="004F0EA7">
        <w:rPr>
          <w:rFonts w:ascii="Times New Roman" w:hAnsi="Times New Roman" w:cs="Times New Roman"/>
          <w:sz w:val="28"/>
          <w:szCs w:val="28"/>
        </w:rPr>
        <w:t>punctus</w:t>
      </w:r>
      <w:proofErr w:type="spellEnd"/>
      <w:r w:rsidRPr="004F0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EA7">
        <w:rPr>
          <w:rFonts w:ascii="Times New Roman" w:hAnsi="Times New Roman" w:cs="Times New Roman"/>
          <w:sz w:val="28"/>
          <w:szCs w:val="28"/>
        </w:rPr>
        <w:t>contra</w:t>
      </w:r>
      <w:proofErr w:type="spellEnd"/>
      <w:r w:rsidRPr="004F0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EA7">
        <w:rPr>
          <w:rFonts w:ascii="Times New Roman" w:hAnsi="Times New Roman" w:cs="Times New Roman"/>
          <w:sz w:val="28"/>
          <w:szCs w:val="28"/>
        </w:rPr>
        <w:t>punctum</w:t>
      </w:r>
      <w:proofErr w:type="spellEnd"/>
      <w:r w:rsidRPr="004F0EA7">
        <w:rPr>
          <w:rFonts w:ascii="Times New Roman" w:hAnsi="Times New Roman" w:cs="Times New Roman"/>
          <w:sz w:val="28"/>
          <w:szCs w:val="28"/>
        </w:rPr>
        <w:t xml:space="preserve"> - точка против точки) - одновременное сочетание двух и более мелодий в разных голосах. Простым контрапунктом называется соединение мелодий, звучащее только один раз. Если при повторном проведении происходят какие-либо изменения в самих мелодиях или в их соотношении относительно друг друга, то такой контрапункт будет называться сложным. </w:t>
      </w:r>
    </w:p>
    <w:p w:rsidR="004F0EA7" w:rsidRP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>Суть сложного контрапункта - пребывание в одном круге образов, бесконечно длящееся одно состояние. Исходное соединение мелодий называется первоначальным соединением. Все видоизмененные повторения будут производными соединениями.</w:t>
      </w:r>
    </w:p>
    <w:p w:rsidR="004F0EA7" w:rsidRP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 xml:space="preserve">     Подвижной контрапункт - вид сложного контрапункта, в котором производное соединение образуется в результате изменения соотношения мелодий  путем их движения относительно друг друга по горизонтали, вертикали и одновременно по обеим координатам. Сами мелодии при этом не меняются. Разновидности подвижного контрапункта: вертикально-подвижной, горизонтально-подвижной, </w:t>
      </w:r>
      <w:proofErr w:type="spellStart"/>
      <w:r w:rsidRPr="004F0EA7">
        <w:rPr>
          <w:rFonts w:ascii="Times New Roman" w:hAnsi="Times New Roman" w:cs="Times New Roman"/>
          <w:sz w:val="28"/>
          <w:szCs w:val="28"/>
        </w:rPr>
        <w:t>вдвойне-подвижной</w:t>
      </w:r>
      <w:proofErr w:type="spellEnd"/>
      <w:r w:rsidRPr="004F0EA7">
        <w:rPr>
          <w:rFonts w:ascii="Times New Roman" w:hAnsi="Times New Roman" w:cs="Times New Roman"/>
          <w:sz w:val="28"/>
          <w:szCs w:val="28"/>
        </w:rPr>
        <w:t>. В перестановках могут участвовать 2 голоса (двойной контрапункт), 3 голоса (тройной контрапункт), 4 и даже 5 голосов.</w:t>
      </w:r>
    </w:p>
    <w:p w:rsidR="004F0EA7" w:rsidRP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0EA7">
        <w:rPr>
          <w:rFonts w:ascii="Times New Roman" w:hAnsi="Times New Roman" w:cs="Times New Roman"/>
          <w:sz w:val="28"/>
          <w:szCs w:val="28"/>
        </w:rPr>
        <w:t xml:space="preserve">     Техника подвижного контрапункта требует высокого контрапунктического мастерства. Она дает возможность практически бесконечно варьировать, "длить" исходный музыкальный образ, избегая с одной стороны повторения, с другой - смены музыкального материала. </w:t>
      </w:r>
    </w:p>
    <w:p w:rsid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и сложный контрапункт (пример 1),</w:t>
      </w:r>
    </w:p>
    <w:p w:rsidR="004F0EA7" w:rsidRDefault="004F0EA7" w:rsidP="00995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EA7" w:rsidRPr="004F0EA7" w:rsidRDefault="004F0EA7" w:rsidP="004F0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4F0EA7">
        <w:rPr>
          <w:rFonts w:ascii="Times New Roman" w:hAnsi="Times New Roman" w:cs="Times New Roman"/>
          <w:b/>
          <w:sz w:val="28"/>
          <w:szCs w:val="28"/>
        </w:rPr>
        <w:t>Классификация сложного контрапункта (схема)</w:t>
      </w:r>
    </w:p>
    <w:p w:rsidR="004F0EA7" w:rsidRPr="004F0EA7" w:rsidRDefault="004F0EA7" w:rsidP="004F0EA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332.7pt;margin-top:136.8pt;width:11.25pt;height:14.25pt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left:0;text-align:left;margin-left:256.2pt;margin-top:136.8pt;width:9pt;height:14.25pt;flip:x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left:0;text-align:left;margin-left:118.95pt;margin-top:133.05pt;width:0;height:63.75pt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158.7pt;margin-top:133.05pt;width:15.75pt;height:10.5pt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69.45pt;margin-top:133.05pt;width:12pt;height:10.5pt;flip:x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232.2pt;margin-top:90.3pt;width:24pt;height:15pt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147.45pt;margin-top:90.3pt;width:22.5pt;height:15pt;flip:x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left:0;text-align:left;margin-left:142.2pt;margin-top:34.8pt;width:43.5pt;height:21pt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left:0;text-align:left;margin-left:58.95pt;margin-top:34.8pt;width:60pt;height:21pt;flip:x;z-index:251658240" o:connectortype="straight">
            <v:stroke endarrow="block"/>
          </v:shape>
        </w:pict>
      </w:r>
      <w:r>
        <w:rPr>
          <w:noProof/>
          <w:lang w:eastAsia="ru-RU"/>
        </w:rPr>
        <w:drawing>
          <wp:inline distT="0" distB="0" distL="0" distR="0">
            <wp:extent cx="5343525" cy="41910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EA7" w:rsidRDefault="004F0EA7" w:rsidP="004F0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EA7" w:rsidRPr="004F0EA7" w:rsidRDefault="004F0EA7" w:rsidP="004F0EA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7663" w:tblpY="-14"/>
        <w:tblW w:w="0" w:type="auto"/>
        <w:tblLook w:val="04A0"/>
      </w:tblPr>
      <w:tblGrid>
        <w:gridCol w:w="1384"/>
        <w:gridCol w:w="1276"/>
      </w:tblGrid>
      <w:tr w:rsidR="00995E50" w:rsidTr="005B214E">
        <w:tc>
          <w:tcPr>
            <w:tcW w:w="1384" w:type="dxa"/>
          </w:tcPr>
          <w:p w:rsidR="00995E50" w:rsidRDefault="00995E50" w:rsidP="005B21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995E50" w:rsidRDefault="00995E50" w:rsidP="005B21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95E50" w:rsidTr="005B214E">
        <w:tc>
          <w:tcPr>
            <w:tcW w:w="1384" w:type="dxa"/>
          </w:tcPr>
          <w:p w:rsidR="00995E50" w:rsidRDefault="00995E50" w:rsidP="005B21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995E50" w:rsidRDefault="00995E50" w:rsidP="005B21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995E50" w:rsidRDefault="004F0EA7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D0A12">
        <w:rPr>
          <w:rFonts w:ascii="Times New Roman" w:hAnsi="Times New Roman" w:cs="Times New Roman"/>
          <w:sz w:val="28"/>
          <w:szCs w:val="28"/>
        </w:rPr>
        <w:t xml:space="preserve"> </w:t>
      </w:r>
      <w:r w:rsidR="00995E50" w:rsidRPr="00262EF7">
        <w:rPr>
          <w:rFonts w:ascii="Times New Roman" w:hAnsi="Times New Roman" w:cs="Times New Roman"/>
          <w:sz w:val="28"/>
          <w:szCs w:val="28"/>
        </w:rPr>
        <w:t>вертикально-подвижной контрапункт</w:t>
      </w:r>
    </w:p>
    <w:p w:rsidR="00995E50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95E50" w:rsidRPr="00041355" w:rsidRDefault="00995E50" w:rsidP="00995E5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7498" w:tblpY="1"/>
        <w:tblW w:w="0" w:type="auto"/>
        <w:tblLook w:val="04A0"/>
      </w:tblPr>
      <w:tblGrid>
        <w:gridCol w:w="1384"/>
        <w:gridCol w:w="1276"/>
      </w:tblGrid>
      <w:tr w:rsidR="00995E50" w:rsidTr="005B214E">
        <w:tc>
          <w:tcPr>
            <w:tcW w:w="1384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95E50" w:rsidTr="005B214E">
        <w:tc>
          <w:tcPr>
            <w:tcW w:w="1384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Б</w:t>
            </w:r>
          </w:p>
        </w:tc>
      </w:tr>
    </w:tbl>
    <w:p w:rsidR="00995E50" w:rsidRPr="00262EF7" w:rsidRDefault="004F0EA7" w:rsidP="00995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3D0A12">
        <w:rPr>
          <w:rFonts w:ascii="Times New Roman" w:hAnsi="Times New Roman" w:cs="Times New Roman"/>
          <w:sz w:val="28"/>
          <w:szCs w:val="28"/>
        </w:rPr>
        <w:t xml:space="preserve"> </w:t>
      </w:r>
      <w:r w:rsidR="00995E50" w:rsidRPr="00262EF7">
        <w:rPr>
          <w:rFonts w:ascii="Times New Roman" w:hAnsi="Times New Roman" w:cs="Times New Roman"/>
          <w:sz w:val="28"/>
          <w:szCs w:val="28"/>
        </w:rPr>
        <w:t>горизонтально-подвижной контрапункт</w:t>
      </w:r>
      <w:r w:rsidR="00995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50" w:rsidRDefault="00995E50" w:rsidP="00995E50">
      <w:pPr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rPr>
          <w:rFonts w:ascii="Times New Roman" w:hAnsi="Times New Roman" w:cs="Times New Roman"/>
          <w:sz w:val="28"/>
          <w:szCs w:val="28"/>
        </w:rPr>
      </w:pPr>
    </w:p>
    <w:p w:rsidR="004F0EA7" w:rsidRPr="00262EF7" w:rsidRDefault="004F0EA7" w:rsidP="00995E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7468" w:tblpY="89"/>
        <w:tblW w:w="0" w:type="auto"/>
        <w:tblLook w:val="04A0"/>
      </w:tblPr>
      <w:tblGrid>
        <w:gridCol w:w="1384"/>
        <w:gridCol w:w="1276"/>
      </w:tblGrid>
      <w:tr w:rsidR="00995E50" w:rsidTr="005B214E">
        <w:tc>
          <w:tcPr>
            <w:tcW w:w="1384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1276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95E50" w:rsidTr="005B214E">
        <w:tc>
          <w:tcPr>
            <w:tcW w:w="1384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995E50" w:rsidRDefault="00995E50" w:rsidP="005B214E">
            <w:pPr>
              <w:ind w:left="884" w:hanging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А</w:t>
            </w:r>
          </w:p>
        </w:tc>
      </w:tr>
    </w:tbl>
    <w:p w:rsidR="00995E50" w:rsidRDefault="004F0EA7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995E50" w:rsidRPr="000413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95E50" w:rsidRPr="00041355">
        <w:rPr>
          <w:rFonts w:ascii="Times New Roman" w:hAnsi="Times New Roman" w:cs="Times New Roman"/>
          <w:sz w:val="28"/>
          <w:szCs w:val="28"/>
        </w:rPr>
        <w:t>двойне-подвижной</w:t>
      </w:r>
      <w:proofErr w:type="spellEnd"/>
      <w:r w:rsidR="00995E50">
        <w:rPr>
          <w:rFonts w:ascii="Times New Roman" w:hAnsi="Times New Roman" w:cs="Times New Roman"/>
          <w:sz w:val="28"/>
          <w:szCs w:val="28"/>
        </w:rPr>
        <w:t xml:space="preserve"> контрапункт</w:t>
      </w: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4F0EA7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995E50" w:rsidRPr="0004135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95E50" w:rsidRPr="00041355">
        <w:rPr>
          <w:rFonts w:ascii="Times New Roman" w:hAnsi="Times New Roman" w:cs="Times New Roman"/>
          <w:sz w:val="28"/>
          <w:szCs w:val="28"/>
        </w:rPr>
        <w:t>еполный обратимый</w:t>
      </w:r>
      <w:r w:rsidR="00995E50">
        <w:rPr>
          <w:rFonts w:ascii="Times New Roman" w:hAnsi="Times New Roman" w:cs="Times New Roman"/>
          <w:sz w:val="28"/>
          <w:szCs w:val="28"/>
        </w:rPr>
        <w:t xml:space="preserve"> контрапункт </w:t>
      </w:r>
      <w:r w:rsidR="00995E50" w:rsidRPr="00041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EA7" w:rsidRDefault="004F0EA7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95E50">
        <w:rPr>
          <w:rFonts w:ascii="Times New Roman" w:hAnsi="Times New Roman" w:cs="Times New Roman"/>
          <w:sz w:val="28"/>
          <w:szCs w:val="28"/>
        </w:rPr>
        <w:t>полный обратимый контрапунк</w:t>
      </w:r>
      <w:r>
        <w:rPr>
          <w:rFonts w:ascii="Times New Roman" w:hAnsi="Times New Roman" w:cs="Times New Roman"/>
          <w:sz w:val="28"/>
          <w:szCs w:val="28"/>
        </w:rPr>
        <w:t>т</w:t>
      </w: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Подвижной контрапункт (пример)</w:t>
      </w:r>
    </w:p>
    <w:p w:rsidR="00995E50" w:rsidRDefault="00995E50" w:rsidP="00995E5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7909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Обратимый контрапункт (пример)</w:t>
      </w: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Pr="00041355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619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5E50" w:rsidRDefault="00995E50" w:rsidP="00995E5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Изучить: </w:t>
      </w:r>
    </w:p>
    <w:p w:rsidR="00995E50" w:rsidRPr="00405BF6" w:rsidRDefault="00995E50" w:rsidP="00995E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41355">
        <w:rPr>
          <w:rFonts w:ascii="Times New Roman" w:hAnsi="Times New Roman" w:cs="Times New Roman"/>
          <w:sz w:val="28"/>
          <w:szCs w:val="28"/>
        </w:rPr>
        <w:t>Григорьев С., Мюллер Т.  Учебник полифонии</w:t>
      </w:r>
      <w:proofErr w:type="gramStart"/>
      <w:r w:rsidRPr="000413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135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413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1355">
        <w:rPr>
          <w:rFonts w:ascii="Times New Roman" w:hAnsi="Times New Roman" w:cs="Times New Roman"/>
          <w:sz w:val="28"/>
          <w:szCs w:val="28"/>
        </w:rPr>
        <w:t xml:space="preserve">тр. 60-96. Конспект. Выписать определение каждого понятия. </w:t>
      </w:r>
    </w:p>
    <w:p w:rsidR="00995E50" w:rsidRPr="00A20028" w:rsidRDefault="00995E50" w:rsidP="00995E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Определить вид контрапункта Осипова. Полифония. Учебное пособие                                                 стр.56 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2002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95E50" w:rsidRPr="00A20028" w:rsidRDefault="00995E50" w:rsidP="00995E50">
      <w:pPr>
        <w:pStyle w:val="a3"/>
        <w:jc w:val="both"/>
        <w:rPr>
          <w:rFonts w:ascii="Times New Roman" w:hAnsi="Times New Roman" w:cs="Times New Roman"/>
        </w:rPr>
      </w:pPr>
      <w:r w:rsidRPr="00A20028">
        <w:rPr>
          <w:rFonts w:ascii="Times New Roman" w:hAnsi="Times New Roman" w:cs="Times New Roman"/>
          <w:sz w:val="28"/>
          <w:szCs w:val="28"/>
        </w:rPr>
        <w:t>стр. 57 пример 3</w:t>
      </w:r>
    </w:p>
    <w:p w:rsidR="00995E50" w:rsidRPr="00041355" w:rsidRDefault="00995E50" w:rsidP="00995E5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стр. 59 № 10</w:t>
      </w:r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65DE0"/>
    <w:multiLevelType w:val="hybridMultilevel"/>
    <w:tmpl w:val="4F003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E2EE4"/>
    <w:multiLevelType w:val="hybridMultilevel"/>
    <w:tmpl w:val="5726B182"/>
    <w:lvl w:ilvl="0" w:tplc="3AAE7D4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320DE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30C67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E23FC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448CB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274E2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C00EB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C0898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2A13A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F0F3C68"/>
    <w:multiLevelType w:val="hybridMultilevel"/>
    <w:tmpl w:val="7BDA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478DD"/>
    <w:multiLevelType w:val="hybridMultilevel"/>
    <w:tmpl w:val="1A9295F2"/>
    <w:lvl w:ilvl="0" w:tplc="4560D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16C2"/>
    <w:multiLevelType w:val="hybridMultilevel"/>
    <w:tmpl w:val="4124531A"/>
    <w:lvl w:ilvl="0" w:tplc="E7DC8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95E50"/>
    <w:rsid w:val="003D0A12"/>
    <w:rsid w:val="00470927"/>
    <w:rsid w:val="004F0EA7"/>
    <w:rsid w:val="005E4A44"/>
    <w:rsid w:val="009152D6"/>
    <w:rsid w:val="00951DF0"/>
    <w:rsid w:val="00995E50"/>
    <w:rsid w:val="00CF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43"/>
        <o:r id="V:Rule11" type="connector" idref="#_x0000_s1040"/>
        <o:r id="V:Rule12" type="connector" idref="#_x0000_s1035"/>
        <o:r id="V:Rule13" type="connector" idref="#_x0000_s1041"/>
        <o:r id="V:Rule14" type="connector" idref="#_x0000_s1037"/>
        <o:r id="V:Rule15" type="connector" idref="#_x0000_s1038"/>
        <o:r id="V:Rule16" type="connector" idref="#_x0000_s1039"/>
        <o:r id="V:Rule17" type="connector" idref="#_x0000_s1042"/>
        <o:r id="V:Rule1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50"/>
    <w:pPr>
      <w:ind w:left="720"/>
      <w:contextualSpacing/>
    </w:pPr>
  </w:style>
  <w:style w:type="table" w:styleId="a4">
    <w:name w:val="Table Grid"/>
    <w:basedOn w:val="a1"/>
    <w:uiPriority w:val="59"/>
    <w:rsid w:val="00995E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66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5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0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4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1</cp:revision>
  <dcterms:created xsi:type="dcterms:W3CDTF">2020-10-19T13:09:00Z</dcterms:created>
  <dcterms:modified xsi:type="dcterms:W3CDTF">2020-10-19T13:46:00Z</dcterms:modified>
</cp:coreProperties>
</file>