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667E" w14:textId="77777777" w:rsidR="005F3994" w:rsidRPr="00DD625C" w:rsidRDefault="005F3994" w:rsidP="005F39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DD625C">
        <w:rPr>
          <w:b/>
          <w:sz w:val="28"/>
          <w:szCs w:val="28"/>
        </w:rPr>
        <w:t>БУХГАЛТЕРСКИЙ БАЛАНС</w:t>
      </w:r>
    </w:p>
    <w:p w14:paraId="36E3BF6C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Бухгалтерский баланс состоит из двух частей: актив и пассив. Актив, в свою очередь делится на два раздела – внеоборотные активы и оборотные активы; а пассив на три – капиталы и резервы, долгосрочные обязательства и краткосрочные обязательства.</w:t>
      </w:r>
    </w:p>
    <w:p w14:paraId="5A336F4B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Таблица 3 – Бухгалтерский баланс.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196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53"/>
      </w:tblGrid>
      <w:tr w:rsidR="00DD625C" w:rsidRPr="00DD625C" w14:paraId="75A9A41C" w14:textId="77777777" w:rsidTr="00CC0784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1810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5FF381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B17A8B1" w14:textId="77777777" w:rsidR="00DD625C" w:rsidRPr="00DD625C" w:rsidRDefault="00DD625C" w:rsidP="00DD625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5AF731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6DEABD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774492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32821E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</w:tc>
      </w:tr>
      <w:tr w:rsidR="00DD625C" w:rsidRPr="00DD625C" w14:paraId="7ACDE12D" w14:textId="77777777" w:rsidTr="00CC0784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9B66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A7DE3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5D347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873438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DEB11B3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2D332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3D16D5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9A1B1E9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30AE4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359F1A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4256CDC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DD625C" w:rsidRPr="00DD625C" w14:paraId="75F78F17" w14:textId="77777777" w:rsidTr="00CC0784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707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9B351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14:paraId="08514FA3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268D93D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14:paraId="7B62B566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14D60BC2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728DD522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single" w:sz="6" w:space="0" w:color="auto"/>
            </w:tcBorders>
          </w:tcPr>
          <w:p w14:paraId="46367A61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</w:tcPr>
          <w:p w14:paraId="3301ACFC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2561FE7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single" w:sz="6" w:space="0" w:color="auto"/>
            </w:tcBorders>
          </w:tcPr>
          <w:p w14:paraId="1D12D163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66C7073F" w14:textId="77777777" w:rsidTr="00CC0784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539542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35F0EB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20C3C66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19EAA6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EFBA3C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6D2F138" w14:textId="77777777" w:rsidTr="00CC0784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C6DE2A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E9E5BD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C373D1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E2ECB2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435964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61C6E598" w14:textId="77777777" w:rsidTr="00CC0784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CB98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CE53A45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F9299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BCFBA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A0F8DF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551C758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2EB6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BECEF69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A95CB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B55F26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B4230A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0D5AD9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594FC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656C388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9983FB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D19E3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4AF36C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91CF287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70406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D63C07B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DBFB5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45E51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4735F5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0DC37A7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911D2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8184187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96A22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D757E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655344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6800E15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3CCAB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A39B8E0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7666E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055A92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147B1E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76FE6A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9137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65BD1C3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8AD50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81BF17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30B66B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23D0221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F5CC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BC7BB54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86A485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667F7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7339DE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ECC9793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877EB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E14D3F8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014D8B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3ACAB5A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DA6B07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074C219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FD42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ADA5EF1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667912A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4DCE497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DE64E0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3A01980" w14:textId="77777777" w:rsidTr="00CC0784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EB03BA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9ED1AD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82B3AD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D7C2AC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831A9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9B4A1FF" w14:textId="77777777" w:rsidTr="00CC0784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FF2CF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B6E293F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C31445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91740A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C1917D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E13B962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B7760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6379B78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E543BE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8A3F8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2B392C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EA98E03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BBC89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009EC44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B9D02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E72839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A30012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69C1EB0E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9D65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960ABDD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CADF21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82DF83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696FF0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3778A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DC1D9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Окончание таблицы 3.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196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DD625C" w:rsidRPr="00DD625C" w14:paraId="2633C0A7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327E1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51B4305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1E6DF9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1BCC3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27539B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83B7A51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28FB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80089DF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17B5E57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382FC0B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B01342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E726513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0325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A28274C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1178537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5026F9A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244A4C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C9954FF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9C4A4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7DA04AA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1F1F88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3AD815C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EC9539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B83B29D" w14:textId="77777777" w:rsidTr="00CC0784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EA5D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0DBFF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58B294C" w14:textId="77777777" w:rsidR="00DD625C" w:rsidRPr="00DD625C" w:rsidRDefault="00DD625C" w:rsidP="00DD625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6BC2C8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C05060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7C4B28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001AE2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</w:tc>
      </w:tr>
      <w:tr w:rsidR="00DD625C" w:rsidRPr="00DD625C" w14:paraId="31DD7CB8" w14:textId="77777777" w:rsidTr="00CC0784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6808B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Пояснения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22A8C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277FF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B23BF8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1B353C4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424B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0792B04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373DDFE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83330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709C8A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1324DBF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DD625C" w:rsidRPr="00DD625C" w14:paraId="2895ACA1" w14:textId="77777777" w:rsidTr="00CC0784">
        <w:trPr>
          <w:cantSplit/>
          <w:trHeight w:val="65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5AB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D2D6F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</w:tcPr>
          <w:p w14:paraId="6A8E0D02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695FDE9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14:paraId="233ABAF9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right w:val="nil"/>
            </w:tcBorders>
          </w:tcPr>
          <w:p w14:paraId="1F23A871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3601C38E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14:paraId="7CB7E384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</w:tcPr>
          <w:p w14:paraId="35A0435A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44AC09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14:paraId="4588B507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0069720" w14:textId="77777777" w:rsidTr="00CC0784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10C633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347472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081FEB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615478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662E2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7C5317D" w14:textId="77777777" w:rsidTr="00CC0784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7E0AB3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1167D3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КАПИТАЛ И РЕЗЕРВЫ </w:t>
            </w:r>
            <w:r w:rsidRPr="00DD625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6CE349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FC56D7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0610F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1C69BB9" w14:textId="77777777" w:rsidTr="00CC0784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0861E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39FA392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52DFA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5B95D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090101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71209BB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50DFB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8A3A78A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5F4DD6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39CDB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96413E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B51DE4A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C96C8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55B1B0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8E98B0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84533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678E5BC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D625C" w:rsidRPr="00DD625C" w14:paraId="0779DD03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0C19C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D45049D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Переоценка внеоборотных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BCECC6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8495A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46E532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0407169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072A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CDABA0C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20283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B489C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315393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E1143D7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4B9AB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67C3D73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74E10C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E5EB3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77D542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88BFB62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645E6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0858FD2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EEB4A4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738E2BB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030BB3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29D4AE6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37D1D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17A0CE2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14:paraId="324D038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14:paraId="4F8D528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7BA48C0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CB25784" w14:textId="77777777" w:rsidTr="00CC0784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74F4FB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8B20A8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14BB2B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013FB1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99538D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432A427" w14:textId="77777777" w:rsidTr="00CC0784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D41A6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405A4C7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78F4B7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F4E41F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845434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6E69F8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D0503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3A17AE3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F41F7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72F1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586FEB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619C6B4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81D66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80C0723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7AA70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658A4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E77D45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A7E88A4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E8AA9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9E5AD29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7B30E83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1E497C9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43D9B6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77396C8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4CE27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798650A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5C6915D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467881F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81EFA4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BB86956" w14:textId="77777777" w:rsidTr="00CC0784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86C6A9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2413CE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BC9556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5DE768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276341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15745ED" w14:textId="77777777" w:rsidTr="00CC0784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ADD72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423642F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C72C5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FFC506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DA5811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9B3F911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22496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A669FA7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079C1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FBF0B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04DF4C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050984A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66D04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B51EC9F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EF50B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7F8B58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B59D51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E1270CC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EF2CE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89B0BA2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1A450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D61AA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9C8F95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00C3D95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E150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14:paraId="43FA96D9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7F79D7B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0055CCB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14:paraId="769A7F2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E10AB66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A3332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FEE3795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50D735D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6B39ED8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859F4C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E23444A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8C1C8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A2E6066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034F33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A64236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EAEACA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08CBDF1A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FF9CD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E314C76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644F089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470A15E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8F7E2F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A9E19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FDAA8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В первом разделе бухгалтерского баланса «Внеоборотные активы» отражается информация об имуществе организации, срок обращения которых более 12 месяцев или более одного производственного цикла, если он превышает 12 месяцев, и переносящее свою стоимость на себестоимость готовой продукции (выполняемых работ, оказываемых услуг) постепенно, путем амортизации.</w:t>
      </w:r>
    </w:p>
    <w:p w14:paraId="48043400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В первом разделе бухгалтерского баланса отражается информация о следующих объектах:</w:t>
      </w:r>
    </w:p>
    <w:p w14:paraId="644BBD16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lastRenderedPageBreak/>
        <w:t>Нематериальные активы;</w:t>
      </w:r>
    </w:p>
    <w:p w14:paraId="48A1F412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Результаты исследований и разработок;</w:t>
      </w:r>
    </w:p>
    <w:p w14:paraId="081D32C8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Нематериальные поисковые активы</w:t>
      </w:r>
    </w:p>
    <w:p w14:paraId="6331C6C5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Материальные поисковые активы;</w:t>
      </w:r>
    </w:p>
    <w:p w14:paraId="07A3628A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Основные средства;</w:t>
      </w:r>
    </w:p>
    <w:p w14:paraId="2207FBFC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Доходные вложения в материальные ценности;</w:t>
      </w:r>
    </w:p>
    <w:p w14:paraId="275AC0B3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Финансовые вложения;</w:t>
      </w:r>
    </w:p>
    <w:p w14:paraId="5F9F57CF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Отложенные налоговые активы;</w:t>
      </w:r>
    </w:p>
    <w:p w14:paraId="7EF896A8" w14:textId="77777777" w:rsidR="00DD625C" w:rsidRPr="00DD625C" w:rsidRDefault="00DD625C" w:rsidP="00DD625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Прочие внеоборотные активы.</w:t>
      </w:r>
    </w:p>
    <w:p w14:paraId="21B8B1E8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Нематериальные активы – это имущество организации, не имеющее материально-вещественной формы, но имеющее стоимостную оценку и способное приносить экономические выгоды.</w:t>
      </w:r>
    </w:p>
    <w:p w14:paraId="458DC2F5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Результаты исследований и разработок –  по данной строке баланса отражается информация о затратах на завершенные научно-исследовательские и опытно-конструкторские работы (НИОКР).</w:t>
      </w:r>
    </w:p>
    <w:p w14:paraId="6A7D1B40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Нематериальные поисковые активы – по данной строке бухгалтерского баланса отражается информация о затратах на поиск, оценку и разведку месторождений полезных ископаемых, например, право на выполнение работ по поиску и оценке месторождений полезных ископаемых, информация, полученная в результате топографических, геологических и геофизических исследований, результаты отбора образцов, оценка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коммерчекой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целесообразности добычи и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>.</w:t>
      </w:r>
    </w:p>
    <w:p w14:paraId="5C8B55D1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Материальные поисковые активы – по данной строке бухгалтерского баланса отражается информация о затратах на поиск, оценку и разведку месторождений полезных ископаемых, например, буровые установки, горное оборудование и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>.</w:t>
      </w:r>
    </w:p>
    <w:p w14:paraId="68681E85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К основным средствам относятся: здания, сооружения, рабочие и силовые машины и оборудование, измерительные и регулирующие приборы </w:t>
      </w:r>
      <w:r w:rsidRPr="00DD625C">
        <w:rPr>
          <w:rFonts w:ascii="Times New Roman" w:hAnsi="Times New Roman" w:cs="Times New Roman"/>
          <w:sz w:val="28"/>
          <w:szCs w:val="28"/>
        </w:rPr>
        <w:lastRenderedPageBreak/>
        <w:t xml:space="preserve">и устройства, вычислительная техника, транспортные средства, рабочий, продуктивный и племенной скот, многолетние насаждения, внутрихозяйственные дороги, земельные участки, объекты природопользования и прочее. </w:t>
      </w:r>
    </w:p>
    <w:p w14:paraId="7D67CE39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Основные средства, предназначенные исключительно для предоставления организацией за плату во временное владение или пользование с целью получения дохода отражаются в бухгалтерском балансе в составе доходных вложений в материальные ценности</w:t>
      </w:r>
    </w:p>
    <w:p w14:paraId="125F4EDB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Прочие внеоборотные активы – строка бухгалтерского баланса, по которой отражается информация о прочих активах, срок обращения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оторых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превышает 12 месяцев и которые не нашли отражения по другим срокам первого раздела баланса, например, оборудование, требующее монтажа; затраты, связанные с незавершенными НИОКР; расходы будущих периодов; стоимость многолетних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насождений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недостигших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эксплуатационного возраста и прочее.</w:t>
      </w:r>
    </w:p>
    <w:p w14:paraId="6D60DBA2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Во втором разделе бухгалтерского баланса «Оборотные активы», отражается информация о следующих объектах:</w:t>
      </w:r>
    </w:p>
    <w:p w14:paraId="37D6B8E8" w14:textId="77777777" w:rsidR="00DD625C" w:rsidRPr="00DD625C" w:rsidRDefault="00DD625C" w:rsidP="00DD625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запасы;</w:t>
      </w:r>
    </w:p>
    <w:p w14:paraId="43807B37" w14:textId="77777777" w:rsidR="00DD625C" w:rsidRPr="00DD625C" w:rsidRDefault="00DD625C" w:rsidP="00DD625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налог на добавленную стоимость по приобретенным ценностям;</w:t>
      </w:r>
    </w:p>
    <w:p w14:paraId="3303CC24" w14:textId="77777777" w:rsidR="00DD625C" w:rsidRPr="00DD625C" w:rsidRDefault="00DD625C" w:rsidP="00DD625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дебиторская задолженность;</w:t>
      </w:r>
    </w:p>
    <w:p w14:paraId="33BB4EC8" w14:textId="77777777" w:rsidR="00DD625C" w:rsidRPr="00DD625C" w:rsidRDefault="00DD625C" w:rsidP="00DD625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финансовые вложения;</w:t>
      </w:r>
    </w:p>
    <w:p w14:paraId="33CA0FFF" w14:textId="77777777" w:rsidR="00DD625C" w:rsidRPr="00DD625C" w:rsidRDefault="00DD625C" w:rsidP="00DD625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денежные средства и денежные эквиваленты;</w:t>
      </w:r>
    </w:p>
    <w:p w14:paraId="69D46C19" w14:textId="77777777" w:rsidR="00DD625C" w:rsidRPr="00DD625C" w:rsidRDefault="00DD625C" w:rsidP="00DD625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D625C">
        <w:rPr>
          <w:sz w:val="28"/>
          <w:szCs w:val="28"/>
        </w:rPr>
        <w:t>прочие оборотные активы.</w:t>
      </w:r>
    </w:p>
    <w:p w14:paraId="1543D958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Запасы – строка бухгалтерского баланса, в составе которой отражаются: сырье, материалы, готовая продукция, товары, полуфабрикаты, расходные материалы и прочее.</w:t>
      </w:r>
    </w:p>
    <w:p w14:paraId="66F5CBC6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Налог на добавленную стоимость по приобретенным ценностям –по данной строке баланса отражается остаток налога на добавленную стоимость </w:t>
      </w:r>
      <w:r w:rsidRPr="00DD625C">
        <w:rPr>
          <w:rFonts w:ascii="Times New Roman" w:hAnsi="Times New Roman" w:cs="Times New Roman"/>
          <w:sz w:val="28"/>
          <w:szCs w:val="28"/>
        </w:rPr>
        <w:lastRenderedPageBreak/>
        <w:t>по приобретенным материально-производственным запасам, нематериальным активам, капитальным вложениям, работам и услугам, который не принят к вычету:</w:t>
      </w:r>
    </w:p>
    <w:p w14:paraId="7E975DB7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[Сальдо дебетовое по </w:t>
      </w:r>
      <w:hyperlink r:id="rId5" w:history="1">
        <w:r w:rsidRPr="00DD625C">
          <w:rPr>
            <w:rStyle w:val="a5"/>
            <w:rFonts w:ascii="Times New Roman" w:hAnsi="Times New Roman"/>
            <w:sz w:val="28"/>
            <w:szCs w:val="28"/>
          </w:rPr>
          <w:t>счету 19</w:t>
        </w:r>
      </w:hyperlink>
      <w:r w:rsidRPr="00DD625C">
        <w:rPr>
          <w:rFonts w:ascii="Times New Roman" w:hAnsi="Times New Roman" w:cs="Times New Roman"/>
          <w:sz w:val="28"/>
          <w:szCs w:val="28"/>
        </w:rPr>
        <w:t> «Налог на добавленную стоимость по приобретенным ценностям»]</w:t>
      </w:r>
    </w:p>
    <w:p w14:paraId="0FF3402D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Дебиторская задолженность –это задолженность покупателей, заказчиков, заемщиков, подотчетных лиц и т.д., которую организация планирует получить в течение определенного периода времени. В составе дебиторской задолженности отражается также сумма авансов, выданных поставщикам и подрядчикам.</w:t>
      </w:r>
    </w:p>
    <w:p w14:paraId="01F1BA38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Финансовые вложения – строка баланса в составе которой, как уже указывалось выше, отражаются государственные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имуниципальные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ценные бумаги, ценные бумаги других организаций, в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томчисле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долговые ценные бумаги, в которых дата и стоимость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погашенияопределена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(облигации, векселя); вклады в уставные (складочные)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капиталыдругих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организаций (в том числе дочерних и зависимых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хозяйственныхобществ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); предоставленные другим организациям займы, депозитные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вкладыв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кредитных организациях, дебиторская задолженность, приобретенная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наосновании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уступки права требования, и пр. Во втором разделе баланса отражаются краткосрочные финансовые вложения, в первом – долгосрочные.</w:t>
      </w:r>
    </w:p>
    <w:p w14:paraId="3181AED7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Денежные средства и денежные эквиваленты – в составе данной строки отражаются либо наличные деньги в кассах организации, либо безналичные деньги на расчетных счетах, а также денежные эквиваленты, например, талоны на бензин, талоны на питание, оплаченные проездные билеты на общественный и прочий транспорт и т.д.</w:t>
      </w:r>
    </w:p>
    <w:p w14:paraId="571D464C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 xml:space="preserve">Прочие оборотные активы –по данной строке бухгалтерского баланса отражается информация об активах, которые не нашли отражения по другим строкам второго раздела баланса, </w:t>
      </w:r>
      <w:proofErr w:type="spellStart"/>
      <w:r w:rsidRPr="00DD625C">
        <w:rPr>
          <w:rFonts w:ascii="Times New Roman" w:hAnsi="Times New Roman" w:cs="Times New Roman"/>
          <w:sz w:val="28"/>
          <w:szCs w:val="28"/>
        </w:rPr>
        <w:t>например,стоимость</w:t>
      </w:r>
      <w:proofErr w:type="spellEnd"/>
      <w:r w:rsidRPr="00DD625C">
        <w:rPr>
          <w:rFonts w:ascii="Times New Roman" w:hAnsi="Times New Roman" w:cs="Times New Roman"/>
          <w:sz w:val="28"/>
          <w:szCs w:val="28"/>
        </w:rPr>
        <w:t xml:space="preserve"> недостающих или </w:t>
      </w:r>
      <w:r w:rsidRPr="00DD625C">
        <w:rPr>
          <w:rFonts w:ascii="Times New Roman" w:hAnsi="Times New Roman" w:cs="Times New Roman"/>
          <w:sz w:val="28"/>
          <w:szCs w:val="28"/>
        </w:rPr>
        <w:lastRenderedPageBreak/>
        <w:t>испорченных материальных ценностей, в отношении которых не принято решение об их списании в состав затрат на производство или на виновных лиц, суммы НДС, исчисленные с авансов и предварительной оплаты, суммы акцизов, подлежащие впоследствии вычетами прочее.</w:t>
      </w:r>
    </w:p>
    <w:p w14:paraId="191EBA70" w14:textId="77777777" w:rsidR="00DD625C" w:rsidRPr="00DD625C" w:rsidRDefault="00DD625C" w:rsidP="00DD6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5C">
        <w:rPr>
          <w:rFonts w:ascii="Times New Roman" w:hAnsi="Times New Roman" w:cs="Times New Roman"/>
          <w:sz w:val="28"/>
          <w:szCs w:val="28"/>
        </w:rPr>
        <w:t>Пассив баланса, как уже было отмечено ранее, состоит из трех разделов.</w:t>
      </w:r>
    </w:p>
    <w:p w14:paraId="4AE31295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Собственные источники финансирования отражаются в бухгалтерском балансе в </w:t>
      </w:r>
      <w:r>
        <w:rPr>
          <w:sz w:val="28"/>
          <w:szCs w:val="28"/>
          <w:lang w:val="en-US"/>
        </w:rPr>
        <w:t>III</w:t>
      </w:r>
      <w:r w:rsidRPr="00033FFA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 «Капиталы и резервы» и при его экономическом анализе изучаются следующие показатели:</w:t>
      </w:r>
    </w:p>
    <w:p w14:paraId="044CCB4E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3FFA">
        <w:rPr>
          <w:i/>
          <w:sz w:val="28"/>
          <w:szCs w:val="28"/>
        </w:rPr>
        <w:t xml:space="preserve">Уставный капитал </w:t>
      </w:r>
      <w:r>
        <w:rPr>
          <w:sz w:val="28"/>
          <w:szCs w:val="28"/>
        </w:rPr>
        <w:t>– совокупность вкладов учредителей в денежном выражении на первоначальном этапе деятельности данного предприятия.</w:t>
      </w:r>
    </w:p>
    <w:p w14:paraId="11201567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454D">
        <w:rPr>
          <w:i/>
          <w:sz w:val="28"/>
          <w:szCs w:val="28"/>
        </w:rPr>
        <w:t>Переоценка внеоборотных активов</w:t>
      </w:r>
      <w:r>
        <w:rPr>
          <w:sz w:val="28"/>
          <w:szCs w:val="28"/>
        </w:rPr>
        <w:t xml:space="preserve"> – о данной строке пассивов отражается информация о стоимости дооценки/уценки внеоборотных активов данного предприятия.</w:t>
      </w:r>
    </w:p>
    <w:p w14:paraId="16E1CE63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533">
        <w:rPr>
          <w:i/>
          <w:sz w:val="28"/>
          <w:szCs w:val="28"/>
        </w:rPr>
        <w:t>Добавочный капитал</w:t>
      </w:r>
      <w:r>
        <w:rPr>
          <w:sz w:val="28"/>
          <w:szCs w:val="28"/>
        </w:rPr>
        <w:t xml:space="preserve"> формируется из двух позиций:</w:t>
      </w:r>
    </w:p>
    <w:p w14:paraId="6FB767C1" w14:textId="77777777" w:rsidR="00221ED5" w:rsidRDefault="00221ED5" w:rsidP="00221E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Положительных/отрицательных курсовых разниц, при наличии у предприятия денежных средств в иностранной валюте;</w:t>
      </w:r>
    </w:p>
    <w:p w14:paraId="6A14555D" w14:textId="77777777" w:rsidR="00221ED5" w:rsidRDefault="00221ED5" w:rsidP="00221E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Разницы между текущей рыночной и номинальной стоимостью собственных акций </w:t>
      </w:r>
      <w:proofErr w:type="gramStart"/>
      <w:r>
        <w:rPr>
          <w:sz w:val="28"/>
          <w:szCs w:val="28"/>
        </w:rPr>
        <w:t>предприятия..</w:t>
      </w:r>
      <w:proofErr w:type="gramEnd"/>
    </w:p>
    <w:p w14:paraId="291BD389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454D">
        <w:rPr>
          <w:i/>
          <w:sz w:val="28"/>
          <w:szCs w:val="28"/>
        </w:rPr>
        <w:t>Резервный капитал</w:t>
      </w:r>
      <w:r>
        <w:rPr>
          <w:sz w:val="28"/>
          <w:szCs w:val="28"/>
        </w:rPr>
        <w:t xml:space="preserve"> – это отчисления от прибыли предприятия на случай непредвиденных расходов.</w:t>
      </w:r>
    </w:p>
    <w:p w14:paraId="2B8F0730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454D">
        <w:rPr>
          <w:i/>
          <w:sz w:val="28"/>
          <w:szCs w:val="28"/>
        </w:rPr>
        <w:t xml:space="preserve">Нераспределенная </w:t>
      </w:r>
      <w:proofErr w:type="gramStart"/>
      <w:r w:rsidRPr="0002454D">
        <w:rPr>
          <w:i/>
          <w:sz w:val="28"/>
          <w:szCs w:val="28"/>
        </w:rPr>
        <w:t>прибыль(</w:t>
      </w:r>
      <w:proofErr w:type="gramEnd"/>
      <w:r w:rsidRPr="0002454D">
        <w:rPr>
          <w:i/>
          <w:sz w:val="28"/>
          <w:szCs w:val="28"/>
        </w:rPr>
        <w:t>непокрытый убыток)</w:t>
      </w:r>
      <w:r>
        <w:rPr>
          <w:sz w:val="28"/>
          <w:szCs w:val="28"/>
        </w:rPr>
        <w:t xml:space="preserve"> – финансовый результат деятельности предприятия.</w:t>
      </w:r>
    </w:p>
    <w:p w14:paraId="29137CCD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экономического анализа также рассматривается структура собственных средств предприятия и динамика их изменения.</w:t>
      </w:r>
    </w:p>
    <w:p w14:paraId="6BA79F6F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Заемный капитал организации отражается в </w:t>
      </w:r>
      <w:r>
        <w:rPr>
          <w:sz w:val="28"/>
          <w:szCs w:val="28"/>
          <w:lang w:val="en-US"/>
        </w:rPr>
        <w:t>IV</w:t>
      </w:r>
      <w:r w:rsidRPr="0002454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2454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02454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разделах Бухгалтерского баланса.</w:t>
      </w:r>
    </w:p>
    <w:p w14:paraId="189C52CC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всего более глубокому анализу </w:t>
      </w:r>
      <w:proofErr w:type="spellStart"/>
      <w:r>
        <w:rPr>
          <w:sz w:val="28"/>
          <w:szCs w:val="28"/>
        </w:rPr>
        <w:t>подвиргаются</w:t>
      </w:r>
      <w:proofErr w:type="spellEnd"/>
      <w:r>
        <w:rPr>
          <w:sz w:val="28"/>
          <w:szCs w:val="28"/>
        </w:rPr>
        <w:t xml:space="preserve"> такие виды обязательств как:</w:t>
      </w:r>
    </w:p>
    <w:p w14:paraId="40211E1F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454D">
        <w:rPr>
          <w:i/>
          <w:sz w:val="28"/>
          <w:szCs w:val="28"/>
        </w:rPr>
        <w:lastRenderedPageBreak/>
        <w:t>Заемные средства</w:t>
      </w:r>
      <w:r>
        <w:rPr>
          <w:sz w:val="28"/>
          <w:szCs w:val="28"/>
        </w:rPr>
        <w:t xml:space="preserve"> (долгосрочные/краткосрочные) – это обязательства предприятия, возникшие в результате получения средств из вне.</w:t>
      </w:r>
    </w:p>
    <w:p w14:paraId="518D6613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454D">
        <w:rPr>
          <w:i/>
          <w:sz w:val="28"/>
          <w:szCs w:val="28"/>
        </w:rPr>
        <w:t>Кредиторская задолженность</w:t>
      </w:r>
      <w:r>
        <w:rPr>
          <w:sz w:val="28"/>
          <w:szCs w:val="28"/>
        </w:rPr>
        <w:t>, в состав которой входят следующие виды обязательств:</w:t>
      </w:r>
    </w:p>
    <w:p w14:paraId="3891C670" w14:textId="77777777" w:rsidR="00221ED5" w:rsidRDefault="00221ED5" w:rsidP="00221E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предприятия по уплате налогов и сборов;</w:t>
      </w:r>
    </w:p>
    <w:p w14:paraId="4B7680DE" w14:textId="77777777" w:rsidR="00221ED5" w:rsidRDefault="00221ED5" w:rsidP="00221E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предприятия по выплате заработной платы;</w:t>
      </w:r>
    </w:p>
    <w:p w14:paraId="1C3A97BF" w14:textId="77777777" w:rsidR="00221ED5" w:rsidRDefault="00221ED5" w:rsidP="00221E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предприятия по уплате страховых взносов от заработной платы;</w:t>
      </w:r>
    </w:p>
    <w:p w14:paraId="0EDC3EBA" w14:textId="77777777" w:rsidR="00221ED5" w:rsidRDefault="00221ED5" w:rsidP="00221E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предприятия перед поставщиками и подрядчиками;</w:t>
      </w:r>
    </w:p>
    <w:p w14:paraId="325F0BDC" w14:textId="77777777" w:rsidR="00221ED5" w:rsidRDefault="00221ED5" w:rsidP="00221E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предприятия перед покупателями и заказчиками;</w:t>
      </w:r>
    </w:p>
    <w:p w14:paraId="0356C9CC" w14:textId="77777777" w:rsidR="00221ED5" w:rsidRDefault="00221ED5" w:rsidP="00221E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предприятия перед прочими кредиторами.</w:t>
      </w:r>
    </w:p>
    <w:p w14:paraId="3388468A" w14:textId="77777777" w:rsidR="00221ED5" w:rsidRPr="0002454D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 является текущими обязательствами предприятия, требующего наиболее срочного погашения.</w:t>
      </w:r>
    </w:p>
    <w:p w14:paraId="0E06F527" w14:textId="77777777" w:rsidR="004A1528" w:rsidRDefault="004A1528"/>
    <w:p w14:paraId="3BF7848D" w14:textId="77777777" w:rsidR="005F3994" w:rsidRDefault="005F3994"/>
    <w:p w14:paraId="21A4F595" w14:textId="77777777" w:rsidR="005F3994" w:rsidRPr="005F3994" w:rsidRDefault="005F3994" w:rsidP="005F39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994">
        <w:rPr>
          <w:rFonts w:ascii="Times New Roman" w:hAnsi="Times New Roman" w:cs="Times New Roman"/>
          <w:b/>
          <w:sz w:val="32"/>
          <w:szCs w:val="32"/>
        </w:rPr>
        <w:t>ОТЧЕТ О ФИНАНСОВЫХ РЕЗУЛЬТАТАХ</w:t>
      </w:r>
    </w:p>
    <w:p w14:paraId="506E1F3B" w14:textId="77777777" w:rsidR="00DD625C" w:rsidRPr="00D464FD" w:rsidRDefault="00DD625C" w:rsidP="00DD62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8 – Отчет о финансовых результатах.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36"/>
        <w:gridCol w:w="249"/>
        <w:gridCol w:w="226"/>
        <w:gridCol w:w="341"/>
        <w:gridCol w:w="425"/>
        <w:gridCol w:w="464"/>
        <w:gridCol w:w="103"/>
        <w:gridCol w:w="232"/>
        <w:gridCol w:w="249"/>
        <w:gridCol w:w="228"/>
        <w:gridCol w:w="425"/>
        <w:gridCol w:w="426"/>
        <w:gridCol w:w="425"/>
        <w:gridCol w:w="27"/>
        <w:gridCol w:w="256"/>
      </w:tblGrid>
      <w:tr w:rsidR="00DD625C" w:rsidRPr="00DD625C" w14:paraId="6C28C7EE" w14:textId="77777777" w:rsidTr="00CC0784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10CE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249A88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ED41BDE" w14:textId="77777777" w:rsidR="00DD625C" w:rsidRPr="00DD625C" w:rsidRDefault="00DD625C" w:rsidP="00DD625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3DC3A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88AE3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C917E08" w14:textId="77777777" w:rsidR="00DD625C" w:rsidRPr="00DD625C" w:rsidRDefault="00DD625C" w:rsidP="00DD625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49CB5E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5AFB0CD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A270168" w14:textId="77777777" w:rsidTr="00CC0784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AF34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350A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994CB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FAE1B32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55612EB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0C5B3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E4D0F1D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D499006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DD625C" w:rsidRPr="00DD625C" w14:paraId="5053CB13" w14:textId="77777777" w:rsidTr="00CC0784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DAB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6C293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753C08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E8CC2B7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2916CF15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321FB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80B93B7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4F2EC54C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1BEC6AF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2894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B78EF17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 xml:space="preserve">Выручка </w:t>
            </w:r>
            <w:r w:rsidRPr="00DD62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7902B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26A43F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1D3A3718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D8DA8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044344D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3973DD9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2C797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3B7BBA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20677B2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D2ABB6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B656E03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25C" w:rsidRPr="00DD625C" w14:paraId="7219681F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604A9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2197504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AAFA3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7B4DC8B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046F0DFF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BC591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BB26327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592B7EC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A689C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01C96D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79944C5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DF0222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05B94F9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25C" w:rsidRPr="00DD625C" w14:paraId="08F2787C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7894B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3EE7A0A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CC9CA2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A1EC3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F09D86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9D814D2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A3686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4E9D08D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25C" w:rsidRPr="00DD625C" w14:paraId="35D5A205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04D68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9A7F78E" w14:textId="77777777" w:rsidR="00DD625C" w:rsidRPr="00DD625C" w:rsidRDefault="00DD625C" w:rsidP="00DD625C">
            <w:pPr>
              <w:spacing w:after="0" w:line="240" w:lineRule="auto"/>
              <w:ind w:lef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BD0C0A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27AA34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3E64792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B5768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F9017CB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ED93E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650A20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EA38735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79C4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08295CD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CB99CAF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14:paraId="67BCBCC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6B3B6DFF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6DB1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A90BFBA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181477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D6078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9EB87E8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BC99C28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078925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C91AA35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25C" w:rsidRPr="00DD625C" w14:paraId="3E0E193D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F7C490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93CA05A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E086F2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31A5BB4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23E9D58E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EB047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C1711C2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113916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BC7D35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037BFC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CB8420C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3CA957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DD588B2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25C" w:rsidRPr="00DD625C" w14:paraId="17BD7697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2679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33D4F91" w14:textId="77777777" w:rsidR="00DD625C" w:rsidRPr="00DD625C" w:rsidRDefault="00DD625C" w:rsidP="00DD625C">
            <w:pPr>
              <w:spacing w:after="0" w:line="240" w:lineRule="auto"/>
              <w:ind w:lef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22589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1AADC72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4AA98BA8" w14:textId="77777777" w:rsidTr="00CC0784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B2F68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2D69D98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E68B0E0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156675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C7C9B3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D91C858" w14:textId="77777777" w:rsidR="00DD625C" w:rsidRPr="00DD625C" w:rsidRDefault="00DD625C" w:rsidP="00DD6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CBFBC9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2B31140" w14:textId="77777777" w:rsidR="00DD625C" w:rsidRPr="00DD625C" w:rsidRDefault="00DD625C" w:rsidP="00DD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25C" w:rsidRPr="00DD625C" w14:paraId="44D9E950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5F89D7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D37E6D5" w14:textId="77777777" w:rsidR="00DD625C" w:rsidRPr="00DD625C" w:rsidRDefault="00DD625C" w:rsidP="00DD625C">
            <w:pPr>
              <w:spacing w:after="0" w:line="240" w:lineRule="auto"/>
              <w:ind w:lef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в т.ч. постоянные налоговые обязательства (активы)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49F382C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B3AABB3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D252368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D8827E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B131335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Изменение отложенных налоговых обязательств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D4C6C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EDA70C5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569FB082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C57ED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E55DE69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Изменение отложенных налоговых активов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F424EA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DCFC404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64659D8A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434A2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14:paraId="7B80E60D" w14:textId="77777777" w:rsidR="00DD625C" w:rsidRPr="00DD625C" w:rsidRDefault="00DD625C" w:rsidP="00DD625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1B0674CA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14:paraId="61BB2ACB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C" w:rsidRPr="00DD625C" w14:paraId="79EE1654" w14:textId="77777777" w:rsidTr="00CC0784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599146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C26F19C" w14:textId="77777777" w:rsidR="00DD625C" w:rsidRPr="00DD625C" w:rsidRDefault="00DD625C" w:rsidP="00DD625C">
            <w:pPr>
              <w:spacing w:after="0" w:line="240" w:lineRule="auto"/>
              <w:ind w:lef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25C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2D0FDCF1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49BD959" w14:textId="77777777" w:rsidR="00DD625C" w:rsidRPr="00DD625C" w:rsidRDefault="00DD625C" w:rsidP="00D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B7D0B" w14:textId="77777777" w:rsidR="00DD625C" w:rsidRDefault="00DD625C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</w:p>
    <w:p w14:paraId="2858D176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88C">
        <w:rPr>
          <w:i/>
          <w:sz w:val="28"/>
          <w:szCs w:val="28"/>
        </w:rPr>
        <w:t>Выручка от продаж</w:t>
      </w:r>
      <w:r>
        <w:rPr>
          <w:sz w:val="28"/>
          <w:szCs w:val="28"/>
        </w:rPr>
        <w:t>, которая в общем виде рассчитываемая как произведение количества проданной продукции (товаров, работ, услуг) на их отпускную цену.</w:t>
      </w:r>
    </w:p>
    <w:p w14:paraId="726853C3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88C">
        <w:rPr>
          <w:i/>
          <w:sz w:val="28"/>
          <w:szCs w:val="28"/>
        </w:rPr>
        <w:t>Себестоимость</w:t>
      </w:r>
      <w:r>
        <w:rPr>
          <w:sz w:val="28"/>
          <w:szCs w:val="28"/>
        </w:rPr>
        <w:t xml:space="preserve"> – это совокупные затраты на производство готовой продукции, оказание услуг, выполнение работ, которые включают в себя пять экономических элементов:</w:t>
      </w:r>
    </w:p>
    <w:p w14:paraId="27624D03" w14:textId="77777777" w:rsidR="00221ED5" w:rsidRDefault="00221ED5" w:rsidP="00221E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затраты</w:t>
      </w:r>
    </w:p>
    <w:p w14:paraId="01313899" w14:textId="77777777" w:rsidR="00221ED5" w:rsidRDefault="00221ED5" w:rsidP="00221E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заработную плату производственных рабочих;</w:t>
      </w:r>
    </w:p>
    <w:p w14:paraId="5854E427" w14:textId="77777777" w:rsidR="00221ED5" w:rsidRDefault="00221ED5" w:rsidP="00221E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страховые взносы от заработной платы производственных рабочих;</w:t>
      </w:r>
    </w:p>
    <w:p w14:paraId="4BC18A34" w14:textId="77777777" w:rsidR="00221ED5" w:rsidRDefault="00221ED5" w:rsidP="00221E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Амортизация;</w:t>
      </w:r>
    </w:p>
    <w:p w14:paraId="5ADFD09E" w14:textId="77777777" w:rsidR="00221ED5" w:rsidRDefault="00221ED5" w:rsidP="00221E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Прочие затраты.</w:t>
      </w:r>
    </w:p>
    <w:p w14:paraId="57533489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88C">
        <w:rPr>
          <w:i/>
          <w:sz w:val="28"/>
          <w:szCs w:val="28"/>
        </w:rPr>
        <w:t>Валовая прибыль</w:t>
      </w:r>
      <w:r>
        <w:rPr>
          <w:sz w:val="28"/>
          <w:szCs w:val="28"/>
        </w:rPr>
        <w:t>, которая рассчитывается как разница между выручкой от продаж и себестоимостью.</w:t>
      </w:r>
    </w:p>
    <w:p w14:paraId="2E133E44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88C">
        <w:rPr>
          <w:i/>
          <w:sz w:val="28"/>
          <w:szCs w:val="28"/>
        </w:rPr>
        <w:t>Управленческие расходы</w:t>
      </w:r>
      <w:r>
        <w:rPr>
          <w:sz w:val="28"/>
          <w:szCs w:val="28"/>
        </w:rPr>
        <w:t>, в состав которых входят следующие виды затрат:</w:t>
      </w:r>
    </w:p>
    <w:p w14:paraId="33489005" w14:textId="77777777" w:rsidR="00221ED5" w:rsidRDefault="00221ED5" w:rsidP="00221E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содержание административно управленческого аппарата (материальные затраты</w:t>
      </w:r>
      <w:r w:rsidRPr="00D4288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 управленческого аппарата, затраты на заработную плату административно управленческого аппарата, затраты на страховые отчисления от заработной платы административно управленческого аппарата, амортизация начисляемая на основные средства и нематериальные активы, используемые в деятельности административно управленческого аппарата, прочие затраты</w:t>
      </w:r>
      <w:r w:rsidRPr="00F0454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 управленческого аппарата);</w:t>
      </w:r>
    </w:p>
    <w:p w14:paraId="01C9D714" w14:textId="77777777" w:rsidR="00221ED5" w:rsidRDefault="00221ED5" w:rsidP="00221E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налог;</w:t>
      </w:r>
    </w:p>
    <w:p w14:paraId="374CC3C7" w14:textId="77777777" w:rsidR="00221ED5" w:rsidRDefault="00221ED5" w:rsidP="00221E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  налог;</w:t>
      </w:r>
    </w:p>
    <w:p w14:paraId="16FF74E7" w14:textId="77777777" w:rsidR="00221ED5" w:rsidRDefault="00221ED5" w:rsidP="00221E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 организации.</w:t>
      </w:r>
    </w:p>
    <w:p w14:paraId="61347099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Коммерческие расходы</w:t>
      </w:r>
      <w:r>
        <w:rPr>
          <w:sz w:val="28"/>
          <w:szCs w:val="28"/>
        </w:rPr>
        <w:t xml:space="preserve"> – это затраты на реализацию и продвижение готовой продукции/ товаров/работ/услуг, в состав которых входят следующие виды затрат:</w:t>
      </w:r>
    </w:p>
    <w:p w14:paraId="33D07DA4" w14:textId="77777777" w:rsidR="00221ED5" w:rsidRDefault="00221ED5" w:rsidP="00221E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рекламу, </w:t>
      </w:r>
    </w:p>
    <w:p w14:paraId="6070D12C" w14:textId="77777777" w:rsidR="00221ED5" w:rsidRDefault="00221ED5" w:rsidP="00221E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доставку, </w:t>
      </w:r>
    </w:p>
    <w:p w14:paraId="63156198" w14:textId="77777777" w:rsidR="00221ED5" w:rsidRDefault="00221ED5" w:rsidP="00221E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маркетинг, </w:t>
      </w:r>
    </w:p>
    <w:p w14:paraId="464DF18A" w14:textId="77777777" w:rsidR="00221ED5" w:rsidRDefault="00221ED5" w:rsidP="00221E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хранение, </w:t>
      </w:r>
    </w:p>
    <w:p w14:paraId="3738157F" w14:textId="77777777" w:rsidR="00221ED5" w:rsidRDefault="00221ED5" w:rsidP="00221E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страхование готовой продукции/товаров, </w:t>
      </w:r>
    </w:p>
    <w:p w14:paraId="7D9D8538" w14:textId="77777777" w:rsidR="00221ED5" w:rsidRDefault="00221ED5" w:rsidP="00221E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представительские расходы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</w:p>
    <w:p w14:paraId="1F0CBE9D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Прибыль от продаж</w:t>
      </w:r>
      <w:r>
        <w:rPr>
          <w:sz w:val="28"/>
          <w:szCs w:val="28"/>
        </w:rPr>
        <w:t xml:space="preserve">, которая рассчитывается как разница между Валовой прибылью и Управленческими </w:t>
      </w:r>
      <w:proofErr w:type="gramStart"/>
      <w:r>
        <w:rPr>
          <w:sz w:val="28"/>
          <w:szCs w:val="28"/>
        </w:rPr>
        <w:t>и  Коммерческие</w:t>
      </w:r>
      <w:proofErr w:type="gramEnd"/>
      <w:r>
        <w:rPr>
          <w:sz w:val="28"/>
          <w:szCs w:val="28"/>
        </w:rPr>
        <w:t xml:space="preserve"> расходами.</w:t>
      </w:r>
    </w:p>
    <w:p w14:paraId="46F95DE2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Доходы от участия в других организациях</w:t>
      </w:r>
      <w:r>
        <w:rPr>
          <w:sz w:val="28"/>
          <w:szCs w:val="28"/>
        </w:rPr>
        <w:t xml:space="preserve"> – по анной строке Отчета отражаются </w:t>
      </w:r>
      <w:proofErr w:type="gramStart"/>
      <w:r>
        <w:rPr>
          <w:sz w:val="28"/>
          <w:szCs w:val="28"/>
        </w:rPr>
        <w:t>доходы</w:t>
      </w:r>
      <w:proofErr w:type="gramEnd"/>
      <w:r>
        <w:rPr>
          <w:sz w:val="28"/>
          <w:szCs w:val="28"/>
        </w:rPr>
        <w:t xml:space="preserve"> полученные организацией в виде дивидендов.</w:t>
      </w:r>
    </w:p>
    <w:p w14:paraId="67938090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Проценты к получению</w:t>
      </w:r>
      <w:r>
        <w:rPr>
          <w:sz w:val="28"/>
          <w:szCs w:val="28"/>
        </w:rPr>
        <w:t xml:space="preserve"> – это проценты, причитающиеся к получению организацией за предоставление во временное пользование ее денежных средств за плату.</w:t>
      </w:r>
    </w:p>
    <w:p w14:paraId="20B80FDF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Проценты к уплате</w:t>
      </w:r>
      <w:r>
        <w:rPr>
          <w:sz w:val="28"/>
          <w:szCs w:val="28"/>
        </w:rPr>
        <w:t xml:space="preserve"> – это проценты, уплачиваемые предприятием по всем видам заемных средств;</w:t>
      </w:r>
    </w:p>
    <w:p w14:paraId="5045A5A4" w14:textId="77777777" w:rsidR="00221ED5" w:rsidRPr="002B0302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Прочие доходы</w:t>
      </w:r>
      <w:r>
        <w:rPr>
          <w:i/>
          <w:sz w:val="28"/>
          <w:szCs w:val="28"/>
        </w:rPr>
        <w:t xml:space="preserve">, </w:t>
      </w:r>
      <w:r w:rsidRPr="002B0302">
        <w:rPr>
          <w:sz w:val="28"/>
          <w:szCs w:val="28"/>
        </w:rPr>
        <w:t>в составе которых учитываются следующие виды доходов:</w:t>
      </w:r>
    </w:p>
    <w:p w14:paraId="1AF0774C" w14:textId="77777777" w:rsidR="00221ED5" w:rsidRDefault="00221ED5" w:rsidP="00221E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полученные от сдачи в аренду имущества предприятия;</w:t>
      </w:r>
    </w:p>
    <w:p w14:paraId="161D559C" w14:textId="77777777" w:rsidR="00221ED5" w:rsidRDefault="00221ED5" w:rsidP="00221E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штрафы, пени, неустойки, уплачиваемые предприятию от его контрагентов за нарушение условий договоров;</w:t>
      </w:r>
    </w:p>
    <w:p w14:paraId="7E6A0195" w14:textId="77777777" w:rsidR="00221ED5" w:rsidRDefault="00221ED5" w:rsidP="00221E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суммы ущерба, возмещенного предприятию третьими лицам;</w:t>
      </w:r>
    </w:p>
    <w:p w14:paraId="43CBAF02" w14:textId="77777777" w:rsidR="00221ED5" w:rsidRDefault="00221ED5" w:rsidP="00221E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имущества, полученного предприятием безвозмездно;</w:t>
      </w:r>
    </w:p>
    <w:p w14:paraId="7805BF8F" w14:textId="77777777" w:rsidR="00221ED5" w:rsidRDefault="00221ED5" w:rsidP="00221E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доходы, вырученные предприятием от продажи основных средств.</w:t>
      </w:r>
    </w:p>
    <w:p w14:paraId="0F92B701" w14:textId="77777777" w:rsidR="00221ED5" w:rsidRDefault="00221ED5" w:rsidP="00221E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имущества, принятого к учету после списания непригодных к дальнейшему использованию активов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</w:p>
    <w:p w14:paraId="0A836421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0302">
        <w:rPr>
          <w:i/>
          <w:sz w:val="28"/>
          <w:szCs w:val="28"/>
        </w:rPr>
        <w:t>Прочие расходы</w:t>
      </w:r>
      <w:r>
        <w:rPr>
          <w:sz w:val="28"/>
          <w:szCs w:val="28"/>
        </w:rPr>
        <w:t>, в составе которых учитываются следующие виды расходов:</w:t>
      </w:r>
    </w:p>
    <w:p w14:paraId="6DA4F364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передачей во временное пользование за плату имущества предприятия (например, капитальный ремонт, амортизация);</w:t>
      </w:r>
    </w:p>
    <w:p w14:paraId="6C1A4660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Штрафы/пени/неустойки, уплачиваемые предприятием своим контрагентам за нарушение условий договоров;</w:t>
      </w:r>
    </w:p>
    <w:p w14:paraId="470AC53D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Суммы ущерба, возмещаемого предприятием третьим лицам;</w:t>
      </w:r>
    </w:p>
    <w:p w14:paraId="033D9273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имущества, выбывшего в связи с безвозмездной </w:t>
      </w:r>
      <w:proofErr w:type="gramStart"/>
      <w:r>
        <w:rPr>
          <w:sz w:val="28"/>
          <w:szCs w:val="28"/>
        </w:rPr>
        <w:t>передачей ,</w:t>
      </w:r>
      <w:proofErr w:type="gramEnd"/>
      <w:r>
        <w:rPr>
          <w:sz w:val="28"/>
          <w:szCs w:val="28"/>
        </w:rPr>
        <w:t xml:space="preserve"> хищением или порчей;</w:t>
      </w:r>
    </w:p>
    <w:p w14:paraId="6C27FEB8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Расходы, возникшие из-за отрицательной курсовой разницы;</w:t>
      </w:r>
    </w:p>
    <w:p w14:paraId="5563DAD8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Сумма уценки имущества предприятия;</w:t>
      </w:r>
    </w:p>
    <w:p w14:paraId="72CF86ED" w14:textId="77777777" w:rsidR="00221ED5" w:rsidRDefault="00221ED5" w:rsidP="00221E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Чрезвычайные расходы (расходы, понесенные из чрезвычайных ситуаций и стихийных бедствий) и </w:t>
      </w:r>
      <w:proofErr w:type="spellStart"/>
      <w:proofErr w:type="gram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..</w:t>
      </w:r>
      <w:proofErr w:type="gramEnd"/>
    </w:p>
    <w:p w14:paraId="1E7838F9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386">
        <w:rPr>
          <w:i/>
          <w:sz w:val="28"/>
          <w:szCs w:val="28"/>
        </w:rPr>
        <w:t>Прибыль до налогообложения</w:t>
      </w:r>
      <w:r>
        <w:rPr>
          <w:sz w:val="28"/>
          <w:szCs w:val="28"/>
        </w:rPr>
        <w:t xml:space="preserve"> рассчитывается путем сложения Прибыли от продаж, Доходов от участия в других организациях, Прочих доходов, Процентов к получению и вычитанием Процентов к уплате и Прочих расходов.</w:t>
      </w:r>
    </w:p>
    <w:p w14:paraId="052E5A23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386">
        <w:rPr>
          <w:i/>
          <w:sz w:val="28"/>
          <w:szCs w:val="28"/>
        </w:rPr>
        <w:t>Текущий налог на прибыль</w:t>
      </w:r>
      <w:r>
        <w:rPr>
          <w:sz w:val="28"/>
          <w:szCs w:val="28"/>
        </w:rPr>
        <w:t xml:space="preserve"> – это налог на прибыль, рассчитанный в соответствии с Налоговым Кодексом РФ по используемой предприятием налоговой ставке</w:t>
      </w:r>
    </w:p>
    <w:p w14:paraId="5E44B499" w14:textId="77777777" w:rsidR="00221ED5" w:rsidRDefault="00221ED5" w:rsidP="00221E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386">
        <w:rPr>
          <w:i/>
          <w:sz w:val="28"/>
          <w:szCs w:val="28"/>
        </w:rPr>
        <w:t>Чистая прибыль / Непокрытый убыток</w:t>
      </w:r>
      <w:r>
        <w:rPr>
          <w:sz w:val="28"/>
          <w:szCs w:val="28"/>
        </w:rPr>
        <w:t xml:space="preserve"> – это конечный финансовый результат, рассчитываемый как разница между Прибылью до налогообложения и Текущим налогом на прибыль</w:t>
      </w:r>
    </w:p>
    <w:p w14:paraId="0CD14127" w14:textId="77777777" w:rsidR="00221ED5" w:rsidRDefault="00221ED5"/>
    <w:sectPr w:rsidR="00221ED5" w:rsidSect="004A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691"/>
    <w:multiLevelType w:val="hybridMultilevel"/>
    <w:tmpl w:val="2D36EC42"/>
    <w:lvl w:ilvl="0" w:tplc="47669D48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0A0EB7"/>
    <w:multiLevelType w:val="hybridMultilevel"/>
    <w:tmpl w:val="734EF04C"/>
    <w:lvl w:ilvl="0" w:tplc="E73C9B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821A2"/>
    <w:multiLevelType w:val="hybridMultilevel"/>
    <w:tmpl w:val="1CA6841E"/>
    <w:lvl w:ilvl="0" w:tplc="E73C9B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EA3A76"/>
    <w:multiLevelType w:val="hybridMultilevel"/>
    <w:tmpl w:val="1A30EDE4"/>
    <w:lvl w:ilvl="0" w:tplc="E73C9B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407C"/>
    <w:multiLevelType w:val="hybridMultilevel"/>
    <w:tmpl w:val="2052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503D"/>
    <w:multiLevelType w:val="hybridMultilevel"/>
    <w:tmpl w:val="DCCABB22"/>
    <w:lvl w:ilvl="0" w:tplc="E73C9B0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F7F3436"/>
    <w:multiLevelType w:val="hybridMultilevel"/>
    <w:tmpl w:val="54FA5AAC"/>
    <w:lvl w:ilvl="0" w:tplc="47669D48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A54818"/>
    <w:multiLevelType w:val="hybridMultilevel"/>
    <w:tmpl w:val="F38AB0F4"/>
    <w:lvl w:ilvl="0" w:tplc="E73C9B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8A7EBB"/>
    <w:multiLevelType w:val="hybridMultilevel"/>
    <w:tmpl w:val="581CC354"/>
    <w:lvl w:ilvl="0" w:tplc="E73C9B0E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D5"/>
    <w:rsid w:val="001961AD"/>
    <w:rsid w:val="00221ED5"/>
    <w:rsid w:val="004535FE"/>
    <w:rsid w:val="004A1528"/>
    <w:rsid w:val="004D1F89"/>
    <w:rsid w:val="005E7059"/>
    <w:rsid w:val="005F3994"/>
    <w:rsid w:val="00D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54F7"/>
  <w15:docId w15:val="{33BF4411-3495-4E5F-862F-31D93F4A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DD625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rsid w:val="00DD625C"/>
    <w:rPr>
      <w:rFonts w:cs="Times New Roman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vf.klerk.ru/plan/1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2031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</cp:revision>
  <dcterms:created xsi:type="dcterms:W3CDTF">2020-04-08T06:58:00Z</dcterms:created>
  <dcterms:modified xsi:type="dcterms:W3CDTF">2020-04-08T06:58:00Z</dcterms:modified>
</cp:coreProperties>
</file>