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21" w:rsidRDefault="00717F21" w:rsidP="00717F21">
      <w:pPr>
        <w:rPr>
          <w:sz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CA7CD8" w:rsidRDefault="00CA7CD8" w:rsidP="00CA7CD8">
      <w:pPr>
        <w:shd w:val="clear" w:color="auto" w:fill="FFFFFF"/>
        <w:spacing w:after="225"/>
        <w:jc w:val="both"/>
        <w:rPr>
          <w:color w:val="000000"/>
        </w:rPr>
      </w:pPr>
      <w:r>
        <w:rPr>
          <w:b/>
          <w:bCs/>
          <w:color w:val="000000"/>
        </w:rPr>
        <w:t xml:space="preserve">Заключение по результатам нейропсихологического исследования актуального состояния высших психических функций </w:t>
      </w:r>
      <w:r>
        <w:rPr>
          <w:b/>
          <w:bCs/>
          <w:color w:val="000000"/>
        </w:rPr>
        <w:t xml:space="preserve">Цыганковой </w:t>
      </w:r>
      <w:proofErr w:type="spellStart"/>
      <w:r>
        <w:rPr>
          <w:b/>
          <w:bCs/>
          <w:color w:val="000000"/>
        </w:rPr>
        <w:t>Аделина</w:t>
      </w:r>
      <w:proofErr w:type="spellEnd"/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лет </w:t>
      </w:r>
      <w:r>
        <w:rPr>
          <w:b/>
          <w:bCs/>
          <w:color w:val="000000"/>
        </w:rPr>
        <w:t>11 мес.</w:t>
      </w:r>
      <w:r>
        <w:rPr>
          <w:b/>
          <w:bCs/>
          <w:color w:val="000000"/>
        </w:rPr>
        <w:t xml:space="preserve"> 03.10 .2010 года.</w:t>
      </w:r>
    </w:p>
    <w:p w:rsidR="00CA7CD8" w:rsidRDefault="00CA7CD8" w:rsidP="00CA7CD8">
      <w:pPr>
        <w:shd w:val="clear" w:color="auto" w:fill="FFFFFF"/>
        <w:spacing w:after="225"/>
        <w:jc w:val="both"/>
        <w:rPr>
          <w:color w:val="000000"/>
        </w:rPr>
      </w:pPr>
      <w:r>
        <w:rPr>
          <w:color w:val="000000"/>
        </w:rPr>
        <w:t xml:space="preserve">Обследование проводилось с помощью набора </w:t>
      </w:r>
      <w:proofErr w:type="spellStart"/>
      <w:r>
        <w:rPr>
          <w:color w:val="000000"/>
        </w:rPr>
        <w:t>пато</w:t>
      </w:r>
      <w:proofErr w:type="spellEnd"/>
      <w:r>
        <w:rPr>
          <w:color w:val="000000"/>
        </w:rPr>
        <w:t xml:space="preserve"> - и нейропсихологических методик.</w:t>
      </w:r>
    </w:p>
    <w:p w:rsidR="00717F21" w:rsidRPr="00CA7CD8" w:rsidRDefault="00717F21" w:rsidP="00CA7CD8">
      <w:pPr>
        <w:spacing w:line="276" w:lineRule="auto"/>
        <w:ind w:firstLine="708"/>
        <w:jc w:val="both"/>
      </w:pPr>
      <w:r w:rsidRPr="00CA7CD8">
        <w:rPr>
          <w:rFonts w:eastAsia="Calibri"/>
        </w:rPr>
        <w:t xml:space="preserve">Во время исследования охотно вступает в контакт, выполняет все предложенные задания. Двигательная активность несколько повышена, иногда отвлекается, переключается с одной деятельности на другую. Однако </w:t>
      </w:r>
      <w:proofErr w:type="gramStart"/>
      <w:r w:rsidRPr="00CA7CD8">
        <w:rPr>
          <w:rFonts w:eastAsia="Calibri"/>
        </w:rPr>
        <w:t>способна</w:t>
      </w:r>
      <w:proofErr w:type="gramEnd"/>
      <w:r w:rsidRPr="00CA7CD8">
        <w:rPr>
          <w:rFonts w:eastAsia="Calibri"/>
        </w:rPr>
        <w:t xml:space="preserve"> поддерживать активное внимание на протяжении всего обследования (50 мин.). Нейродинамические характеристики психической деятельности не снижены. </w:t>
      </w:r>
      <w:r w:rsidRPr="00CA7CD8">
        <w:t>Эмоциональные реакции адекватны ситуации. Навыки самообслуживания сформированы.</w:t>
      </w:r>
    </w:p>
    <w:p w:rsidR="00717F21" w:rsidRPr="00CA7CD8" w:rsidRDefault="00717F21" w:rsidP="00CA7CD8">
      <w:pPr>
        <w:spacing w:line="276" w:lineRule="auto"/>
        <w:ind w:firstLine="708"/>
        <w:jc w:val="both"/>
      </w:pPr>
      <w:r w:rsidRPr="00CA7CD8">
        <w:t>Обращенную речь понимает практически в полном объеме, небольшие трудности наблюдаются при понимании сложных логико-грамматических конструкций, в которых используются предлоги, обозначающие пространственное расположение о</w:t>
      </w:r>
      <w:r w:rsidR="00F9154A" w:rsidRPr="00CA7CD8">
        <w:t>б</w:t>
      </w:r>
      <w:r w:rsidRPr="00CA7CD8">
        <w:t>ъектов</w:t>
      </w:r>
      <w:r w:rsidR="002B1A1E" w:rsidRPr="00CA7CD8">
        <w:t xml:space="preserve"> (под, </w:t>
      </w:r>
      <w:proofErr w:type="gramStart"/>
      <w:r w:rsidR="002B1A1E" w:rsidRPr="00CA7CD8">
        <w:t>над</w:t>
      </w:r>
      <w:proofErr w:type="gramEnd"/>
      <w:r w:rsidR="002B1A1E" w:rsidRPr="00CA7CD8">
        <w:t xml:space="preserve"> и др.).</w:t>
      </w:r>
      <w:r w:rsidRPr="00CA7CD8">
        <w:t xml:space="preserve"> </w:t>
      </w:r>
    </w:p>
    <w:p w:rsidR="00717F21" w:rsidRPr="00CA7CD8" w:rsidRDefault="00717F21" w:rsidP="00CA7CD8">
      <w:pPr>
        <w:spacing w:line="276" w:lineRule="auto"/>
        <w:ind w:firstLine="708"/>
        <w:jc w:val="both"/>
        <w:rPr>
          <w:rFonts w:eastAsia="Calibri"/>
        </w:rPr>
      </w:pPr>
      <w:r w:rsidRPr="00CA7CD8">
        <w:rPr>
          <w:rFonts w:eastAsia="Calibri"/>
        </w:rPr>
        <w:t>Речевая активность адекватная. Речь фразовая, но недостаточно развернутая, с литеральными парафазиями, аграмматизмами и</w:t>
      </w:r>
      <w:r w:rsidR="002B1A1E" w:rsidRPr="00CA7CD8">
        <w:rPr>
          <w:rFonts w:eastAsia="Calibri"/>
        </w:rPr>
        <w:t>, особенно,</w:t>
      </w:r>
      <w:r w:rsidRPr="00CA7CD8">
        <w:rPr>
          <w:rFonts w:eastAsia="Calibri"/>
        </w:rPr>
        <w:t xml:space="preserve"> трудностями </w:t>
      </w:r>
      <w:r w:rsidRPr="00CA7CD8">
        <w:rPr>
          <w:rFonts w:eastAsia="Calibri"/>
          <w:b/>
          <w:i/>
        </w:rPr>
        <w:t xml:space="preserve">переключения с одной </w:t>
      </w:r>
      <w:proofErr w:type="spellStart"/>
      <w:r w:rsidRPr="00CA7CD8">
        <w:rPr>
          <w:rFonts w:eastAsia="Calibri"/>
          <w:b/>
          <w:i/>
        </w:rPr>
        <w:t>артикулемы</w:t>
      </w:r>
      <w:proofErr w:type="spellEnd"/>
      <w:r w:rsidRPr="00CA7CD8">
        <w:rPr>
          <w:rFonts w:eastAsia="Calibri"/>
          <w:b/>
          <w:i/>
        </w:rPr>
        <w:t xml:space="preserve"> на другую.</w:t>
      </w:r>
      <w:r w:rsidRPr="00CA7CD8">
        <w:rPr>
          <w:rFonts w:eastAsia="Calibri"/>
        </w:rPr>
        <w:t xml:space="preserve"> </w:t>
      </w:r>
      <w:r w:rsidR="003B74C9" w:rsidRPr="00CA7CD8">
        <w:rPr>
          <w:rFonts w:eastAsia="Calibri"/>
        </w:rPr>
        <w:t xml:space="preserve">Не может произносить длинные сложные слова, повторять скороговорки. </w:t>
      </w:r>
      <w:r w:rsidR="002B1A1E" w:rsidRPr="00CA7CD8">
        <w:rPr>
          <w:rFonts w:eastAsia="Calibri"/>
        </w:rPr>
        <w:t>При этом способность произносить сложные звуки относительно с</w:t>
      </w:r>
      <w:r w:rsidR="003B74C9" w:rsidRPr="00CA7CD8">
        <w:rPr>
          <w:rFonts w:eastAsia="Calibri"/>
        </w:rPr>
        <w:t>формирована</w:t>
      </w:r>
      <w:r w:rsidR="002B1A1E" w:rsidRPr="00CA7CD8">
        <w:rPr>
          <w:rFonts w:eastAsia="Calibri"/>
        </w:rPr>
        <w:t xml:space="preserve">. </w:t>
      </w:r>
      <w:r w:rsidRPr="00CA7CD8">
        <w:rPr>
          <w:rFonts w:eastAsia="Calibri"/>
        </w:rPr>
        <w:t xml:space="preserve">Словесное оформление ответов затруднено. Номинативная функция речи снижена (затрудняется при назывании нарисованных объектов или </w:t>
      </w:r>
      <w:proofErr w:type="gramStart"/>
      <w:r w:rsidRPr="00CA7CD8">
        <w:rPr>
          <w:rFonts w:eastAsia="Calibri"/>
        </w:rPr>
        <w:t>заменяет названия на близкие</w:t>
      </w:r>
      <w:proofErr w:type="gramEnd"/>
      <w:r w:rsidRPr="00CA7CD8">
        <w:rPr>
          <w:rFonts w:eastAsia="Calibri"/>
        </w:rPr>
        <w:t xml:space="preserve"> по смыслу слова). Сложности возникают и при составлении связного рассказа по картинке. Слуховое внимание незначительно снижено.</w:t>
      </w:r>
    </w:p>
    <w:p w:rsidR="00F9154A" w:rsidRPr="00CA7CD8" w:rsidRDefault="00F9154A" w:rsidP="00CA7CD8">
      <w:pPr>
        <w:spacing w:line="276" w:lineRule="auto"/>
        <w:ind w:firstLine="708"/>
        <w:jc w:val="both"/>
        <w:rPr>
          <w:rFonts w:eastAsia="Calibri"/>
        </w:rPr>
      </w:pPr>
      <w:proofErr w:type="gramStart"/>
      <w:r w:rsidRPr="00CA7CD8">
        <w:rPr>
          <w:rFonts w:eastAsia="Calibri"/>
        </w:rPr>
        <w:t>Кратковременные</w:t>
      </w:r>
      <w:proofErr w:type="gramEnd"/>
      <w:r w:rsidRPr="00CA7CD8">
        <w:rPr>
          <w:rFonts w:eastAsia="Calibri"/>
        </w:rPr>
        <w:t xml:space="preserve"> зрительная и </w:t>
      </w:r>
      <w:proofErr w:type="spellStart"/>
      <w:r w:rsidRPr="00CA7CD8">
        <w:rPr>
          <w:rFonts w:eastAsia="Calibri"/>
        </w:rPr>
        <w:t>слухо</w:t>
      </w:r>
      <w:proofErr w:type="spellEnd"/>
      <w:r w:rsidRPr="00CA7CD8">
        <w:rPr>
          <w:rFonts w:eastAsia="Calibri"/>
        </w:rPr>
        <w:t>-речевая память сформированы в соответствии с возрастом. Обращает на себя внимание хорошо сформированная способность ребенка сосредоточиться в необходимый момент при восприятии и воспроизведении как зрительного, так и слухового материала</w:t>
      </w:r>
      <w:r w:rsidR="00981427" w:rsidRPr="00CA7CD8">
        <w:rPr>
          <w:rFonts w:eastAsia="Calibri"/>
        </w:rPr>
        <w:t>, что свидетельствует о нормальном уровне развития управляющих, контролирующих функций</w:t>
      </w:r>
      <w:r w:rsidRPr="00CA7CD8">
        <w:rPr>
          <w:rFonts w:eastAsia="Calibri"/>
        </w:rPr>
        <w:t>.</w:t>
      </w:r>
    </w:p>
    <w:p w:rsidR="002B1A1E" w:rsidRPr="00CA7CD8" w:rsidRDefault="002B1A1E" w:rsidP="00CA7CD8">
      <w:pPr>
        <w:spacing w:line="276" w:lineRule="auto"/>
        <w:ind w:firstLine="708"/>
        <w:jc w:val="both"/>
        <w:rPr>
          <w:rFonts w:eastAsia="Calibri"/>
        </w:rPr>
      </w:pPr>
      <w:r w:rsidRPr="00CA7CD8">
        <w:rPr>
          <w:rFonts w:eastAsia="Calibri"/>
        </w:rPr>
        <w:t>При выполнении теста «</w:t>
      </w:r>
      <w:proofErr w:type="spellStart"/>
      <w:r w:rsidRPr="00CA7CD8">
        <w:rPr>
          <w:rFonts w:eastAsia="Calibri"/>
        </w:rPr>
        <w:t>дихотическое</w:t>
      </w:r>
      <w:proofErr w:type="spellEnd"/>
      <w:r w:rsidRPr="00CA7CD8">
        <w:rPr>
          <w:rFonts w:eastAsia="Calibri"/>
        </w:rPr>
        <w:t xml:space="preserve"> прослушивание» делает довольно много ошибок (24%), что может свидетельствовать как о недостаточности слухового внимания, так и </w:t>
      </w:r>
      <w:proofErr w:type="spellStart"/>
      <w:r w:rsidRPr="00CA7CD8">
        <w:rPr>
          <w:rFonts w:eastAsia="Calibri"/>
        </w:rPr>
        <w:t>дефицитарности</w:t>
      </w:r>
      <w:proofErr w:type="spellEnd"/>
      <w:r w:rsidRPr="00CA7CD8">
        <w:rPr>
          <w:rFonts w:eastAsia="Calibri"/>
        </w:rPr>
        <w:t xml:space="preserve"> фонематического слуха. Это подтверждается и результатами нейропсихологических проб, направленных на восприятие и повторение слов с оппозиционными фонемами, в которых девочка совершает ошибки. Ведущим по восприятию речевых стимулов оказалось левое полушарие (ЭПУ (эффект правого уха) = 33%), что свидетельствует о типичном для правшей формировании функциональной асимметрии мозга.</w:t>
      </w:r>
    </w:p>
    <w:p w:rsidR="00717F21" w:rsidRPr="00CA7CD8" w:rsidRDefault="00717F21" w:rsidP="00CA7CD8">
      <w:pPr>
        <w:spacing w:line="276" w:lineRule="auto"/>
        <w:ind w:firstLine="708"/>
        <w:jc w:val="both"/>
        <w:rPr>
          <w:rFonts w:eastAsia="Calibri"/>
        </w:rPr>
      </w:pPr>
      <w:r w:rsidRPr="00CA7CD8">
        <w:rPr>
          <w:rFonts w:eastAsia="Calibri"/>
        </w:rPr>
        <w:t xml:space="preserve">Зрительно-пространственные функции, наглядно-образное мышление сформированы в соответствии с возрастом. Безошибочно выполняет пробы «лабиринты», детские матрицы </w:t>
      </w:r>
      <w:proofErr w:type="spellStart"/>
      <w:r w:rsidRPr="00CA7CD8">
        <w:rPr>
          <w:rFonts w:eastAsia="Calibri"/>
        </w:rPr>
        <w:t>Равена</w:t>
      </w:r>
      <w:proofErr w:type="spellEnd"/>
      <w:r w:rsidRPr="00CA7CD8">
        <w:rPr>
          <w:rFonts w:eastAsia="Calibri"/>
        </w:rPr>
        <w:t xml:space="preserve">. Обращает на себя внимание </w:t>
      </w:r>
      <w:r w:rsidR="002B1A1E" w:rsidRPr="00CA7CD8">
        <w:rPr>
          <w:rFonts w:eastAsia="Calibri"/>
        </w:rPr>
        <w:t>импульсивность, характерная для ребенка при решении сложных заданий. Стимулирующая помощь со стороны психолога значительно улучшает результаты.</w:t>
      </w:r>
    </w:p>
    <w:p w:rsidR="00717F21" w:rsidRPr="00CA7CD8" w:rsidRDefault="00717F21" w:rsidP="00CA7CD8">
      <w:pPr>
        <w:spacing w:line="276" w:lineRule="auto"/>
        <w:jc w:val="both"/>
        <w:rPr>
          <w:rFonts w:eastAsia="Calibri"/>
        </w:rPr>
      </w:pPr>
      <w:r w:rsidRPr="00CA7CD8">
        <w:rPr>
          <w:rFonts w:eastAsia="Calibri"/>
          <w:b/>
        </w:rPr>
        <w:tab/>
      </w:r>
      <w:r w:rsidRPr="00CA7CD8">
        <w:rPr>
          <w:rFonts w:eastAsia="Calibri"/>
        </w:rPr>
        <w:t>При исследовании мелких и крупных движений выраженны</w:t>
      </w:r>
      <w:r w:rsidR="002B1A1E" w:rsidRPr="00CA7CD8">
        <w:rPr>
          <w:rFonts w:eastAsia="Calibri"/>
        </w:rPr>
        <w:t>х</w:t>
      </w:r>
      <w:r w:rsidRPr="00CA7CD8">
        <w:rPr>
          <w:rFonts w:eastAsia="Calibri"/>
        </w:rPr>
        <w:t xml:space="preserve"> признак</w:t>
      </w:r>
      <w:r w:rsidR="002B1A1E" w:rsidRPr="00CA7CD8">
        <w:rPr>
          <w:rFonts w:eastAsia="Calibri"/>
        </w:rPr>
        <w:t>ов</w:t>
      </w:r>
      <w:r w:rsidRPr="00CA7CD8">
        <w:rPr>
          <w:rFonts w:eastAsia="Calibri"/>
        </w:rPr>
        <w:t xml:space="preserve"> </w:t>
      </w:r>
      <w:proofErr w:type="spellStart"/>
      <w:r w:rsidRPr="00CA7CD8">
        <w:rPr>
          <w:rFonts w:eastAsia="Calibri"/>
        </w:rPr>
        <w:t>диспраксии</w:t>
      </w:r>
      <w:proofErr w:type="spellEnd"/>
      <w:r w:rsidR="002B1A1E" w:rsidRPr="00CA7CD8">
        <w:rPr>
          <w:rFonts w:eastAsia="Calibri"/>
        </w:rPr>
        <w:t xml:space="preserve"> не отмечается</w:t>
      </w:r>
      <w:r w:rsidR="00B62BD8" w:rsidRPr="00CA7CD8">
        <w:rPr>
          <w:rFonts w:eastAsia="Calibri"/>
        </w:rPr>
        <w:t xml:space="preserve"> за исключением</w:t>
      </w:r>
      <w:r w:rsidR="00ED7AFD" w:rsidRPr="00CA7CD8">
        <w:rPr>
          <w:rFonts w:eastAsia="Calibri"/>
        </w:rPr>
        <w:t xml:space="preserve"> умеренной </w:t>
      </w:r>
      <w:proofErr w:type="spellStart"/>
      <w:r w:rsidR="00ED7AFD" w:rsidRPr="00CA7CD8">
        <w:rPr>
          <w:rFonts w:eastAsia="Calibri"/>
        </w:rPr>
        <w:t>дефицитарности</w:t>
      </w:r>
      <w:proofErr w:type="spellEnd"/>
      <w:r w:rsidR="00ED7AFD" w:rsidRPr="00CA7CD8">
        <w:rPr>
          <w:rFonts w:eastAsia="Calibri"/>
        </w:rPr>
        <w:t xml:space="preserve"> </w:t>
      </w:r>
      <w:proofErr w:type="gramStart"/>
      <w:r w:rsidR="00ED7AFD" w:rsidRPr="00CA7CD8">
        <w:rPr>
          <w:rFonts w:eastAsia="Calibri"/>
        </w:rPr>
        <w:t>кинетического</w:t>
      </w:r>
      <w:proofErr w:type="gramEnd"/>
      <w:r w:rsidR="00ED7AFD" w:rsidRPr="00CA7CD8">
        <w:rPr>
          <w:rFonts w:eastAsia="Calibri"/>
        </w:rPr>
        <w:t xml:space="preserve"> </w:t>
      </w:r>
      <w:proofErr w:type="spellStart"/>
      <w:r w:rsidR="00ED7AFD" w:rsidRPr="00CA7CD8">
        <w:rPr>
          <w:rFonts w:eastAsia="Calibri"/>
        </w:rPr>
        <w:t>праксиса</w:t>
      </w:r>
      <w:proofErr w:type="spellEnd"/>
      <w:r w:rsidR="00ED7AFD" w:rsidRPr="00CA7CD8">
        <w:rPr>
          <w:rFonts w:eastAsia="Calibri"/>
        </w:rPr>
        <w:t xml:space="preserve">, которая </w:t>
      </w:r>
      <w:r w:rsidR="002B1A1E" w:rsidRPr="00CA7CD8">
        <w:rPr>
          <w:rFonts w:eastAsia="Calibri"/>
        </w:rPr>
        <w:t xml:space="preserve">обнаруживается </w:t>
      </w:r>
      <w:r w:rsidR="00ED7AFD" w:rsidRPr="00CA7CD8">
        <w:rPr>
          <w:rFonts w:eastAsia="Calibri"/>
        </w:rPr>
        <w:t xml:space="preserve">при исследовании способности выполнять последовательность движений (путает </w:t>
      </w:r>
      <w:r w:rsidR="002B1A1E" w:rsidRPr="00CA7CD8">
        <w:rPr>
          <w:rFonts w:eastAsia="Calibri"/>
        </w:rPr>
        <w:t>последовательност</w:t>
      </w:r>
      <w:r w:rsidR="00ED7AFD" w:rsidRPr="00CA7CD8">
        <w:rPr>
          <w:rFonts w:eastAsia="Calibri"/>
        </w:rPr>
        <w:t>ь необходимых</w:t>
      </w:r>
      <w:r w:rsidR="002B1A1E" w:rsidRPr="00CA7CD8">
        <w:rPr>
          <w:rFonts w:eastAsia="Calibri"/>
        </w:rPr>
        <w:t xml:space="preserve"> движений). </w:t>
      </w:r>
      <w:proofErr w:type="gramStart"/>
      <w:r w:rsidRPr="00CA7CD8">
        <w:rPr>
          <w:rFonts w:eastAsia="Calibri"/>
        </w:rPr>
        <w:t xml:space="preserve">Такие же явления наблюдаются при </w:t>
      </w:r>
      <w:r w:rsidR="00F9154A" w:rsidRPr="00CA7CD8">
        <w:rPr>
          <w:rFonts w:eastAsia="Calibri"/>
        </w:rPr>
        <w:t>исследовании орального праксиса</w:t>
      </w:r>
      <w:r w:rsidRPr="00CA7CD8">
        <w:rPr>
          <w:rFonts w:eastAsia="Calibri"/>
        </w:rPr>
        <w:t xml:space="preserve">. </w:t>
      </w:r>
      <w:proofErr w:type="gramEnd"/>
    </w:p>
    <w:p w:rsidR="00717F21" w:rsidRPr="00CA7CD8" w:rsidRDefault="00717F21" w:rsidP="00CA7CD8">
      <w:pPr>
        <w:spacing w:line="276" w:lineRule="auto"/>
        <w:ind w:firstLine="720"/>
        <w:jc w:val="both"/>
      </w:pPr>
      <w:r w:rsidRPr="00CA7CD8">
        <w:t>Таким образом, наблюдаются:</w:t>
      </w:r>
    </w:p>
    <w:p w:rsidR="00717F21" w:rsidRPr="00CA7CD8" w:rsidRDefault="00717F21" w:rsidP="00CA7CD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A7C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дисбаланс в развитии вербальных и невербальных функций:</w:t>
      </w:r>
      <w:r w:rsidRPr="00CA7CD8">
        <w:rPr>
          <w:rFonts w:ascii="Times New Roman" w:eastAsia="Times New Roman" w:hAnsi="Times New Roman"/>
          <w:sz w:val="24"/>
          <w:szCs w:val="24"/>
          <w:lang w:eastAsia="ru-RU"/>
        </w:rPr>
        <w:t xml:space="preserve"> с одной стороны </w:t>
      </w:r>
      <w:proofErr w:type="gramStart"/>
      <w:r w:rsidRPr="00CA7CD8">
        <w:rPr>
          <w:rFonts w:ascii="Times New Roman" w:eastAsia="Times New Roman" w:hAnsi="Times New Roman"/>
          <w:sz w:val="24"/>
          <w:szCs w:val="24"/>
          <w:lang w:eastAsia="ru-RU"/>
        </w:rPr>
        <w:t>–у</w:t>
      </w:r>
      <w:proofErr w:type="gramEnd"/>
      <w:r w:rsidRPr="00CA7CD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меренная </w:t>
      </w:r>
      <w:r w:rsidRPr="00CA7C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недостаточность </w:t>
      </w:r>
      <w:r w:rsidR="00ED7AFD" w:rsidRPr="00CA7CD8">
        <w:rPr>
          <w:rFonts w:ascii="Times New Roman" w:eastAsia="Times New Roman" w:hAnsi="Times New Roman"/>
          <w:i/>
          <w:sz w:val="24"/>
          <w:szCs w:val="24"/>
          <w:lang w:eastAsia="ru-RU"/>
        </w:rPr>
        <w:t>моторной функции</w:t>
      </w:r>
      <w:r w:rsidRPr="00CA7C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речи</w:t>
      </w:r>
      <w:r w:rsidR="00ED7AFD" w:rsidRPr="00CA7C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(</w:t>
      </w:r>
      <w:proofErr w:type="spellStart"/>
      <w:r w:rsidR="00ED7AFD" w:rsidRPr="00CA7C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дис</w:t>
      </w:r>
      <w:r w:rsidR="002F38B7" w:rsidRPr="00CA7C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фазия</w:t>
      </w:r>
      <w:proofErr w:type="spellEnd"/>
      <w:r w:rsidR="002F38B7" w:rsidRPr="00CA7C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развития), легкая недостаточность фонематического слуха</w:t>
      </w:r>
      <w:r w:rsidR="007C0180" w:rsidRPr="00CA7C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недостаточная </w:t>
      </w:r>
      <w:r w:rsidR="007C0180" w:rsidRPr="00CA7C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сформированность номинативной функции речи</w:t>
      </w:r>
      <w:r w:rsidRPr="00CA7CD8">
        <w:rPr>
          <w:rFonts w:ascii="Times New Roman" w:eastAsia="Times New Roman" w:hAnsi="Times New Roman"/>
          <w:sz w:val="24"/>
          <w:szCs w:val="24"/>
          <w:lang w:eastAsia="ru-RU"/>
        </w:rPr>
        <w:t xml:space="preserve">; с другой стороны - </w:t>
      </w:r>
      <w:r w:rsidRPr="00CA7CD8">
        <w:rPr>
          <w:rFonts w:ascii="Times New Roman" w:eastAsia="Times New Roman" w:hAnsi="Times New Roman"/>
          <w:b/>
          <w:sz w:val="24"/>
          <w:szCs w:val="24"/>
          <w:lang w:eastAsia="ru-RU"/>
        </w:rPr>
        <w:t>сформированность зрительно-пространственных функций, наглядно-образного мышления</w:t>
      </w:r>
      <w:r w:rsidRPr="00CA7CD8">
        <w:rPr>
          <w:rFonts w:ascii="Times New Roman" w:eastAsia="Times New Roman" w:hAnsi="Times New Roman"/>
          <w:sz w:val="24"/>
          <w:szCs w:val="24"/>
          <w:lang w:eastAsia="ru-RU"/>
        </w:rPr>
        <w:t xml:space="preserve">;  </w:t>
      </w:r>
    </w:p>
    <w:p w:rsidR="00717F21" w:rsidRPr="00CA7CD8" w:rsidRDefault="00717F21" w:rsidP="00CA7CD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A7CD8">
        <w:rPr>
          <w:rFonts w:ascii="Times New Roman" w:hAnsi="Times New Roman"/>
          <w:b/>
          <w:i/>
          <w:sz w:val="24"/>
          <w:szCs w:val="24"/>
        </w:rPr>
        <w:t xml:space="preserve">явления </w:t>
      </w:r>
      <w:r w:rsidR="002F38B7" w:rsidRPr="00CA7CD8">
        <w:rPr>
          <w:rFonts w:ascii="Times New Roman" w:hAnsi="Times New Roman"/>
          <w:b/>
          <w:i/>
          <w:sz w:val="24"/>
          <w:szCs w:val="24"/>
        </w:rPr>
        <w:t xml:space="preserve">кинетической </w:t>
      </w:r>
      <w:proofErr w:type="spellStart"/>
      <w:r w:rsidRPr="00CA7CD8">
        <w:rPr>
          <w:rFonts w:ascii="Times New Roman" w:hAnsi="Times New Roman"/>
          <w:b/>
          <w:i/>
          <w:sz w:val="24"/>
          <w:szCs w:val="24"/>
        </w:rPr>
        <w:t>диспраксии</w:t>
      </w:r>
      <w:proofErr w:type="spellEnd"/>
      <w:r w:rsidR="00F9154A" w:rsidRPr="00CA7CD8">
        <w:rPr>
          <w:rFonts w:ascii="Times New Roman" w:hAnsi="Times New Roman"/>
          <w:b/>
          <w:i/>
          <w:sz w:val="24"/>
          <w:szCs w:val="24"/>
        </w:rPr>
        <w:t xml:space="preserve"> умеренной степени выраженности, особенно, органов артикуляторного аппарата</w:t>
      </w:r>
      <w:r w:rsidRPr="00CA7CD8">
        <w:rPr>
          <w:rFonts w:ascii="Times New Roman" w:hAnsi="Times New Roman"/>
          <w:b/>
          <w:i/>
          <w:sz w:val="24"/>
          <w:szCs w:val="24"/>
        </w:rPr>
        <w:t>.</w:t>
      </w:r>
    </w:p>
    <w:p w:rsidR="00717F21" w:rsidRPr="00CA7CD8" w:rsidRDefault="00717F21" w:rsidP="00CA7CD8">
      <w:pPr>
        <w:spacing w:line="276" w:lineRule="auto"/>
        <w:ind w:firstLine="708"/>
        <w:jc w:val="both"/>
        <w:rPr>
          <w:b/>
          <w:i/>
        </w:rPr>
      </w:pPr>
    </w:p>
    <w:p w:rsidR="00717F21" w:rsidRPr="00CA7CD8" w:rsidRDefault="00717F21" w:rsidP="00CA7CD8">
      <w:pPr>
        <w:spacing w:line="276" w:lineRule="auto"/>
        <w:ind w:firstLine="708"/>
        <w:jc w:val="both"/>
        <w:rPr>
          <w:b/>
          <w:i/>
        </w:rPr>
      </w:pPr>
      <w:r w:rsidRPr="00CA7CD8">
        <w:rPr>
          <w:b/>
          <w:i/>
        </w:rPr>
        <w:t xml:space="preserve">Наблюдаемые нарушения речи, </w:t>
      </w:r>
      <w:r w:rsidR="00981427" w:rsidRPr="00CA7CD8">
        <w:rPr>
          <w:b/>
          <w:i/>
        </w:rPr>
        <w:t>явления</w:t>
      </w:r>
      <w:r w:rsidRPr="00CA7CD8">
        <w:rPr>
          <w:b/>
          <w:i/>
        </w:rPr>
        <w:t xml:space="preserve"> </w:t>
      </w:r>
      <w:proofErr w:type="spellStart"/>
      <w:r w:rsidRPr="00CA7CD8">
        <w:rPr>
          <w:b/>
          <w:i/>
        </w:rPr>
        <w:t>диспракси</w:t>
      </w:r>
      <w:r w:rsidR="00981427" w:rsidRPr="00CA7CD8">
        <w:rPr>
          <w:b/>
          <w:i/>
        </w:rPr>
        <w:t>и</w:t>
      </w:r>
      <w:proofErr w:type="spellEnd"/>
      <w:r w:rsidRPr="00CA7CD8">
        <w:rPr>
          <w:b/>
          <w:i/>
        </w:rPr>
        <w:t xml:space="preserve"> могут свидетельствовать о функциональной недостаточности </w:t>
      </w:r>
      <w:proofErr w:type="spellStart"/>
      <w:r w:rsidRPr="00CA7CD8">
        <w:rPr>
          <w:b/>
          <w:i/>
        </w:rPr>
        <w:t>конвекситальной</w:t>
      </w:r>
      <w:proofErr w:type="spellEnd"/>
      <w:r w:rsidRPr="00CA7CD8">
        <w:rPr>
          <w:b/>
          <w:i/>
        </w:rPr>
        <w:t xml:space="preserve"> коры</w:t>
      </w:r>
      <w:r w:rsidR="00981427" w:rsidRPr="00CA7CD8">
        <w:rPr>
          <w:b/>
          <w:i/>
        </w:rPr>
        <w:t xml:space="preserve"> пр</w:t>
      </w:r>
      <w:r w:rsidR="00B57802" w:rsidRPr="00CA7CD8">
        <w:rPr>
          <w:b/>
          <w:i/>
        </w:rPr>
        <w:t>е</w:t>
      </w:r>
      <w:r w:rsidR="00981427" w:rsidRPr="00CA7CD8">
        <w:rPr>
          <w:b/>
          <w:i/>
        </w:rPr>
        <w:t>имущественно</w:t>
      </w:r>
      <w:r w:rsidRPr="00CA7CD8">
        <w:rPr>
          <w:b/>
          <w:i/>
        </w:rPr>
        <w:t xml:space="preserve"> лобной</w:t>
      </w:r>
      <w:r w:rsidR="00B57802" w:rsidRPr="00CA7CD8">
        <w:rPr>
          <w:b/>
          <w:i/>
        </w:rPr>
        <w:t xml:space="preserve"> (в большей степени </w:t>
      </w:r>
      <w:proofErr w:type="spellStart"/>
      <w:r w:rsidR="00B57802" w:rsidRPr="00CA7CD8">
        <w:rPr>
          <w:b/>
          <w:i/>
        </w:rPr>
        <w:t>премоторной</w:t>
      </w:r>
      <w:proofErr w:type="spellEnd"/>
      <w:r w:rsidRPr="00CA7CD8">
        <w:rPr>
          <w:b/>
          <w:i/>
        </w:rPr>
        <w:t>) и, возможно, височной</w:t>
      </w:r>
      <w:r w:rsidR="00B57802" w:rsidRPr="00CA7CD8">
        <w:rPr>
          <w:b/>
          <w:i/>
        </w:rPr>
        <w:t xml:space="preserve"> долей</w:t>
      </w:r>
      <w:r w:rsidRPr="00CA7CD8">
        <w:rPr>
          <w:b/>
          <w:i/>
        </w:rPr>
        <w:t xml:space="preserve"> левого полушария, а также связей между ними.</w:t>
      </w:r>
    </w:p>
    <w:p w:rsidR="00717F21" w:rsidRPr="00CA7CD8" w:rsidRDefault="00717F21" w:rsidP="00CA7CD8">
      <w:pPr>
        <w:spacing w:line="276" w:lineRule="auto"/>
        <w:ind w:firstLine="708"/>
        <w:jc w:val="both"/>
      </w:pPr>
      <w:r w:rsidRPr="00CA7CD8">
        <w:t>Сформированность невербальных когнитивных процессов, ориентированность, критичность, эмоциональная адекватность ребенка позволяют предположить благоприятный прогноз его дальнейшего психического развития.</w:t>
      </w:r>
    </w:p>
    <w:p w:rsidR="00B57802" w:rsidRPr="00CA7CD8" w:rsidRDefault="00B57802" w:rsidP="00CA7CD8">
      <w:pPr>
        <w:spacing w:line="276" w:lineRule="auto"/>
        <w:ind w:firstLine="708"/>
        <w:jc w:val="both"/>
      </w:pPr>
      <w:r w:rsidRPr="00CA7CD8">
        <w:t>Рекомендуются интенсивные коррекционные занятия с различными специалистами (с опорой на сохранные и сформированные невербальные функции</w:t>
      </w:r>
      <w:r w:rsidR="007C0180" w:rsidRPr="00CA7CD8">
        <w:t>, хороший уровень развития кратковременной памяти</w:t>
      </w:r>
      <w:r w:rsidRPr="00CA7CD8">
        <w:t xml:space="preserve">): логопедом, </w:t>
      </w:r>
      <w:proofErr w:type="spellStart"/>
      <w:r w:rsidRPr="00CA7CD8">
        <w:t>нейропсихологом</w:t>
      </w:r>
      <w:proofErr w:type="spellEnd"/>
      <w:r w:rsidRPr="00CA7CD8">
        <w:t xml:space="preserve"> и др</w:t>
      </w:r>
      <w:r w:rsidR="006335BA" w:rsidRPr="00CA7CD8">
        <w:t xml:space="preserve">., а также - увеличение </w:t>
      </w:r>
      <w:proofErr w:type="spellStart"/>
      <w:r w:rsidR="006335BA" w:rsidRPr="00CA7CD8">
        <w:t>аудионагрузки</w:t>
      </w:r>
      <w:proofErr w:type="spellEnd"/>
      <w:r w:rsidR="006335BA" w:rsidRPr="00CA7CD8">
        <w:t>.</w:t>
      </w:r>
      <w:r w:rsidR="007C0180" w:rsidRPr="00CA7CD8">
        <w:t xml:space="preserve"> </w:t>
      </w:r>
    </w:p>
    <w:p w:rsidR="007C0180" w:rsidRPr="00CA7CD8" w:rsidRDefault="007C0180" w:rsidP="00CA7CD8">
      <w:pPr>
        <w:spacing w:line="276" w:lineRule="auto"/>
        <w:ind w:firstLine="708"/>
        <w:jc w:val="both"/>
      </w:pPr>
      <w:r w:rsidRPr="00CA7CD8">
        <w:t>Особое внимание необходимо уделить:</w:t>
      </w:r>
    </w:p>
    <w:p w:rsidR="007C0180" w:rsidRPr="00CA7CD8" w:rsidRDefault="007C0180" w:rsidP="00CA7CD8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A7CD8">
        <w:rPr>
          <w:rFonts w:ascii="Times New Roman" w:hAnsi="Times New Roman"/>
          <w:sz w:val="24"/>
          <w:szCs w:val="24"/>
        </w:rPr>
        <w:t xml:space="preserve">занятиям, направленным на улучшение артикуляторного праксиса, а именно, его кинетической основы (формирование способности переключения с одной </w:t>
      </w:r>
      <w:proofErr w:type="spellStart"/>
      <w:r w:rsidRPr="00CA7CD8">
        <w:rPr>
          <w:rFonts w:ascii="Times New Roman" w:hAnsi="Times New Roman"/>
          <w:sz w:val="24"/>
          <w:szCs w:val="24"/>
        </w:rPr>
        <w:t>артикулемы</w:t>
      </w:r>
      <w:proofErr w:type="spellEnd"/>
      <w:r w:rsidRPr="00CA7CD8">
        <w:rPr>
          <w:rFonts w:ascii="Times New Roman" w:hAnsi="Times New Roman"/>
          <w:sz w:val="24"/>
          <w:szCs w:val="24"/>
        </w:rPr>
        <w:t xml:space="preserve"> на другую: медленное проговаривание сложных слов с увеличением темпа, скороговорки, тренировки правильной последовательности движений органов артикуляторного аппарата и др.);</w:t>
      </w:r>
    </w:p>
    <w:p w:rsidR="007C0180" w:rsidRPr="00CA7CD8" w:rsidRDefault="007C0180" w:rsidP="00CA7CD8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A7CD8">
        <w:rPr>
          <w:rFonts w:ascii="Times New Roman" w:hAnsi="Times New Roman"/>
          <w:sz w:val="24"/>
          <w:szCs w:val="24"/>
        </w:rPr>
        <w:t xml:space="preserve">развитию фонематического слуха (анализ слов с оппозиционными фонемами и т.д.); </w:t>
      </w:r>
    </w:p>
    <w:p w:rsidR="00B57802" w:rsidRPr="00CA7CD8" w:rsidRDefault="00B57802" w:rsidP="00CA7CD8">
      <w:pPr>
        <w:spacing w:line="276" w:lineRule="auto"/>
        <w:ind w:firstLine="708"/>
        <w:jc w:val="both"/>
      </w:pPr>
    </w:p>
    <w:p w:rsidR="00717F21" w:rsidRPr="00CA7CD8" w:rsidRDefault="00717F21" w:rsidP="00CA7CD8">
      <w:pPr>
        <w:spacing w:line="276" w:lineRule="auto"/>
        <w:jc w:val="both"/>
      </w:pPr>
    </w:p>
    <w:p w:rsidR="00717F21" w:rsidRPr="00CA7CD8" w:rsidRDefault="00717F21" w:rsidP="00CA7CD8">
      <w:pPr>
        <w:spacing w:after="200" w:line="276" w:lineRule="auto"/>
        <w:jc w:val="both"/>
        <w:rPr>
          <w:rFonts w:eastAsia="Calibri"/>
          <w:b/>
          <w:i/>
          <w:lang w:eastAsia="en-US"/>
        </w:rPr>
      </w:pPr>
      <w:r w:rsidRPr="00CA7CD8">
        <w:rPr>
          <w:rFonts w:eastAsia="Calibri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4012D5CB" wp14:editId="2DA094A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80373" cy="3812583"/>
            <wp:effectExtent l="19050" t="0" r="10827" b="0"/>
            <wp:wrapSquare wrapText="bothSides"/>
            <wp:docPr id="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717F21" w:rsidRPr="00CA7CD8" w:rsidRDefault="00717F21" w:rsidP="00CA7CD8">
      <w:pPr>
        <w:spacing w:after="200" w:line="276" w:lineRule="auto"/>
        <w:jc w:val="both"/>
        <w:rPr>
          <w:rFonts w:eastAsia="Calibri"/>
          <w:b/>
          <w:i/>
          <w:lang w:eastAsia="en-US"/>
        </w:rPr>
      </w:pPr>
    </w:p>
    <w:p w:rsidR="00717F21" w:rsidRDefault="00717F21" w:rsidP="00717F21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lang w:eastAsia="en-US"/>
        </w:rPr>
      </w:pPr>
    </w:p>
    <w:p w:rsidR="00717F21" w:rsidRDefault="00717F21" w:rsidP="00717F21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lang w:eastAsia="en-US"/>
        </w:rPr>
      </w:pPr>
    </w:p>
    <w:p w:rsidR="00717F21" w:rsidRDefault="00717F21" w:rsidP="00717F21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lang w:eastAsia="en-US"/>
        </w:rPr>
      </w:pPr>
    </w:p>
    <w:p w:rsidR="00717F21" w:rsidRDefault="00717F21" w:rsidP="00717F21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lang w:eastAsia="en-US"/>
        </w:rPr>
      </w:pPr>
    </w:p>
    <w:p w:rsidR="00717F21" w:rsidRDefault="00717F21" w:rsidP="00717F21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lang w:eastAsia="en-US"/>
        </w:rPr>
      </w:pPr>
    </w:p>
    <w:p w:rsidR="00717F21" w:rsidRDefault="00717F21" w:rsidP="00717F21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lang w:eastAsia="en-US"/>
        </w:rPr>
      </w:pPr>
    </w:p>
    <w:p w:rsidR="00717F21" w:rsidRDefault="00717F21" w:rsidP="00717F21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lang w:eastAsia="en-US"/>
        </w:rPr>
      </w:pPr>
    </w:p>
    <w:p w:rsidR="00717F21" w:rsidRDefault="00717F21" w:rsidP="00717F21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lang w:eastAsia="en-US"/>
        </w:rPr>
      </w:pPr>
    </w:p>
    <w:p w:rsidR="00717F21" w:rsidRDefault="00717F21" w:rsidP="00717F21">
      <w:pPr>
        <w:spacing w:after="200" w:line="276" w:lineRule="auto"/>
        <w:rPr>
          <w:rFonts w:ascii="Calibri" w:eastAsia="Calibri" w:hAnsi="Calibri"/>
          <w:b/>
          <w:i/>
          <w:sz w:val="28"/>
          <w:szCs w:val="28"/>
          <w:lang w:eastAsia="en-US"/>
        </w:rPr>
      </w:pPr>
    </w:p>
    <w:p w:rsidR="00717F21" w:rsidRPr="00CA7CD8" w:rsidRDefault="00717F21" w:rsidP="00717F21">
      <w:pPr>
        <w:spacing w:after="200" w:line="276" w:lineRule="auto"/>
        <w:rPr>
          <w:rFonts w:eastAsia="Calibri"/>
          <w:b/>
          <w:i/>
          <w:sz w:val="28"/>
          <w:szCs w:val="28"/>
          <w:lang w:eastAsia="en-US"/>
        </w:rPr>
      </w:pPr>
      <w:r w:rsidRPr="00CA7CD8">
        <w:rPr>
          <w:rFonts w:eastAsia="Calibri"/>
          <w:b/>
          <w:i/>
          <w:sz w:val="28"/>
          <w:szCs w:val="28"/>
          <w:lang w:eastAsia="en-US"/>
        </w:rPr>
        <w:t>0 – выраженное нарушение</w:t>
      </w:r>
    </w:p>
    <w:p w:rsidR="00717F21" w:rsidRPr="00CA7CD8" w:rsidRDefault="00717F21" w:rsidP="00717F21">
      <w:pPr>
        <w:spacing w:after="200" w:line="276" w:lineRule="auto"/>
        <w:rPr>
          <w:rFonts w:eastAsia="Calibri"/>
          <w:b/>
          <w:i/>
          <w:sz w:val="28"/>
          <w:szCs w:val="28"/>
          <w:lang w:eastAsia="en-US"/>
        </w:rPr>
      </w:pPr>
      <w:r w:rsidRPr="00CA7CD8">
        <w:rPr>
          <w:rFonts w:eastAsia="Calibri"/>
          <w:b/>
          <w:i/>
          <w:sz w:val="28"/>
          <w:szCs w:val="28"/>
          <w:lang w:eastAsia="en-US"/>
        </w:rPr>
        <w:lastRenderedPageBreak/>
        <w:t>5 – нет нарушения</w:t>
      </w:r>
    </w:p>
    <w:p w:rsidR="00717F21" w:rsidRPr="00CA7CD8" w:rsidRDefault="00717F21" w:rsidP="00717F21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proofErr w:type="spellStart"/>
      <w:r w:rsidRPr="00CA7CD8">
        <w:rPr>
          <w:rFonts w:eastAsia="Calibri"/>
          <w:b/>
          <w:sz w:val="22"/>
          <w:szCs w:val="22"/>
          <w:lang w:eastAsia="en-US"/>
        </w:rPr>
        <w:t>Упр</w:t>
      </w:r>
      <w:proofErr w:type="gramStart"/>
      <w:r w:rsidRPr="00CA7CD8">
        <w:rPr>
          <w:rFonts w:eastAsia="Calibri"/>
          <w:b/>
          <w:sz w:val="22"/>
          <w:szCs w:val="22"/>
          <w:lang w:eastAsia="en-US"/>
        </w:rPr>
        <w:t>ф</w:t>
      </w:r>
      <w:proofErr w:type="spellEnd"/>
      <w:r w:rsidRPr="00CA7CD8">
        <w:rPr>
          <w:rFonts w:eastAsia="Calibri"/>
          <w:sz w:val="22"/>
          <w:szCs w:val="22"/>
          <w:lang w:eastAsia="en-US"/>
        </w:rPr>
        <w:t>–</w:t>
      </w:r>
      <w:proofErr w:type="gramEnd"/>
      <w:r w:rsidRPr="00CA7CD8">
        <w:rPr>
          <w:rFonts w:eastAsia="Calibri"/>
          <w:sz w:val="22"/>
          <w:szCs w:val="22"/>
          <w:lang w:eastAsia="en-US"/>
        </w:rPr>
        <w:t xml:space="preserve"> управляющие, контролирующие, регулирующие функции</w:t>
      </w:r>
    </w:p>
    <w:p w:rsidR="00717F21" w:rsidRPr="00CA7CD8" w:rsidRDefault="00717F21" w:rsidP="00717F21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proofErr w:type="spellStart"/>
      <w:r w:rsidRPr="00CA7CD8">
        <w:rPr>
          <w:rFonts w:eastAsia="Calibri"/>
          <w:b/>
          <w:sz w:val="22"/>
          <w:szCs w:val="22"/>
          <w:lang w:eastAsia="en-US"/>
        </w:rPr>
        <w:t>Вним</w:t>
      </w:r>
      <w:proofErr w:type="spellEnd"/>
      <w:r w:rsidRPr="00CA7CD8">
        <w:rPr>
          <w:rFonts w:eastAsia="Calibri"/>
          <w:sz w:val="22"/>
          <w:szCs w:val="22"/>
          <w:lang w:eastAsia="en-US"/>
        </w:rPr>
        <w:t xml:space="preserve"> – функции внимания</w:t>
      </w:r>
    </w:p>
    <w:p w:rsidR="00717F21" w:rsidRPr="00CA7CD8" w:rsidRDefault="00717F21" w:rsidP="00717F21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proofErr w:type="spellStart"/>
      <w:r w:rsidRPr="00CA7CD8">
        <w:rPr>
          <w:rFonts w:eastAsia="Calibri"/>
          <w:b/>
          <w:sz w:val="22"/>
          <w:szCs w:val="22"/>
          <w:lang w:eastAsia="en-US"/>
        </w:rPr>
        <w:t>Пср</w:t>
      </w:r>
      <w:proofErr w:type="spellEnd"/>
      <w:r w:rsidRPr="00CA7CD8">
        <w:rPr>
          <w:rFonts w:eastAsia="Calibri"/>
          <w:sz w:val="22"/>
          <w:szCs w:val="22"/>
          <w:lang w:eastAsia="en-US"/>
        </w:rPr>
        <w:t xml:space="preserve"> – психическая работоспособность</w:t>
      </w:r>
    </w:p>
    <w:p w:rsidR="00717F21" w:rsidRPr="00CA7CD8" w:rsidRDefault="00717F21" w:rsidP="00717F21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proofErr w:type="spellStart"/>
      <w:r w:rsidRPr="00CA7CD8">
        <w:rPr>
          <w:rFonts w:eastAsia="Calibri"/>
          <w:b/>
          <w:sz w:val="22"/>
          <w:szCs w:val="22"/>
          <w:lang w:eastAsia="en-US"/>
        </w:rPr>
        <w:t>Пракс</w:t>
      </w:r>
      <w:proofErr w:type="spellEnd"/>
      <w:r w:rsidRPr="00CA7CD8">
        <w:rPr>
          <w:rFonts w:eastAsia="Calibri"/>
          <w:sz w:val="22"/>
          <w:szCs w:val="22"/>
          <w:lang w:eastAsia="en-US"/>
        </w:rPr>
        <w:t xml:space="preserve"> – </w:t>
      </w:r>
      <w:proofErr w:type="spellStart"/>
      <w:r w:rsidRPr="00CA7CD8">
        <w:rPr>
          <w:rFonts w:eastAsia="Calibri"/>
          <w:sz w:val="22"/>
          <w:szCs w:val="22"/>
          <w:lang w:eastAsia="en-US"/>
        </w:rPr>
        <w:t>праксис</w:t>
      </w:r>
      <w:proofErr w:type="spellEnd"/>
    </w:p>
    <w:p w:rsidR="00717F21" w:rsidRPr="00CA7CD8" w:rsidRDefault="00717F21" w:rsidP="00717F21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proofErr w:type="spellStart"/>
      <w:r w:rsidRPr="00CA7CD8">
        <w:rPr>
          <w:rFonts w:eastAsia="Calibri"/>
          <w:b/>
          <w:sz w:val="22"/>
          <w:szCs w:val="22"/>
          <w:lang w:eastAsia="en-US"/>
        </w:rPr>
        <w:t>Зргн</w:t>
      </w:r>
      <w:proofErr w:type="spellEnd"/>
      <w:r w:rsidRPr="00CA7CD8">
        <w:rPr>
          <w:rFonts w:eastAsia="Calibri"/>
          <w:sz w:val="22"/>
          <w:szCs w:val="22"/>
          <w:lang w:eastAsia="en-US"/>
        </w:rPr>
        <w:t xml:space="preserve"> – зрительный </w:t>
      </w:r>
      <w:proofErr w:type="spellStart"/>
      <w:r w:rsidRPr="00CA7CD8">
        <w:rPr>
          <w:rFonts w:eastAsia="Calibri"/>
          <w:sz w:val="22"/>
          <w:szCs w:val="22"/>
          <w:lang w:eastAsia="en-US"/>
        </w:rPr>
        <w:t>гнозис</w:t>
      </w:r>
      <w:proofErr w:type="spellEnd"/>
    </w:p>
    <w:p w:rsidR="00717F21" w:rsidRPr="00CA7CD8" w:rsidRDefault="00717F21" w:rsidP="00717F21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A7CD8">
        <w:rPr>
          <w:rFonts w:eastAsia="Calibri"/>
          <w:b/>
          <w:sz w:val="22"/>
          <w:szCs w:val="22"/>
          <w:lang w:eastAsia="en-US"/>
        </w:rPr>
        <w:t xml:space="preserve">Слух </w:t>
      </w:r>
      <w:proofErr w:type="spellStart"/>
      <w:r w:rsidRPr="00CA7CD8">
        <w:rPr>
          <w:rFonts w:eastAsia="Calibri"/>
          <w:b/>
          <w:sz w:val="22"/>
          <w:szCs w:val="22"/>
          <w:lang w:eastAsia="en-US"/>
        </w:rPr>
        <w:t>гн</w:t>
      </w:r>
      <w:proofErr w:type="spellEnd"/>
      <w:r w:rsidRPr="00CA7CD8">
        <w:rPr>
          <w:rFonts w:eastAsia="Calibri"/>
          <w:sz w:val="22"/>
          <w:szCs w:val="22"/>
          <w:lang w:eastAsia="en-US"/>
        </w:rPr>
        <w:t xml:space="preserve"> – слуховой </w:t>
      </w:r>
      <w:proofErr w:type="spellStart"/>
      <w:r w:rsidRPr="00CA7CD8">
        <w:rPr>
          <w:rFonts w:eastAsia="Calibri"/>
          <w:sz w:val="22"/>
          <w:szCs w:val="22"/>
          <w:lang w:eastAsia="en-US"/>
        </w:rPr>
        <w:t>гнозис</w:t>
      </w:r>
      <w:proofErr w:type="spellEnd"/>
    </w:p>
    <w:p w:rsidR="00717F21" w:rsidRPr="00CA7CD8" w:rsidRDefault="00717F21" w:rsidP="00717F21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proofErr w:type="spellStart"/>
      <w:r w:rsidRPr="00CA7CD8">
        <w:rPr>
          <w:rFonts w:eastAsia="Calibri"/>
          <w:b/>
          <w:sz w:val="22"/>
          <w:szCs w:val="22"/>
          <w:lang w:eastAsia="en-US"/>
        </w:rPr>
        <w:t>Сфр</w:t>
      </w:r>
      <w:proofErr w:type="spellEnd"/>
      <w:r w:rsidRPr="00CA7CD8">
        <w:rPr>
          <w:rFonts w:eastAsia="Calibri"/>
          <w:sz w:val="22"/>
          <w:szCs w:val="22"/>
          <w:lang w:eastAsia="en-US"/>
        </w:rPr>
        <w:t xml:space="preserve"> – сенсорная функция речи</w:t>
      </w:r>
    </w:p>
    <w:p w:rsidR="00717F21" w:rsidRPr="00CA7CD8" w:rsidRDefault="00717F21" w:rsidP="00717F21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proofErr w:type="spellStart"/>
      <w:r w:rsidRPr="00CA7CD8">
        <w:rPr>
          <w:rFonts w:eastAsia="Calibri"/>
          <w:b/>
          <w:sz w:val="22"/>
          <w:szCs w:val="22"/>
          <w:lang w:eastAsia="en-US"/>
        </w:rPr>
        <w:t>Мфр</w:t>
      </w:r>
      <w:proofErr w:type="spellEnd"/>
      <w:r w:rsidRPr="00CA7CD8">
        <w:rPr>
          <w:rFonts w:eastAsia="Calibri"/>
          <w:sz w:val="22"/>
          <w:szCs w:val="22"/>
          <w:lang w:eastAsia="en-US"/>
        </w:rPr>
        <w:t xml:space="preserve"> – моторная функция речи</w:t>
      </w:r>
    </w:p>
    <w:p w:rsidR="00717F21" w:rsidRPr="00CA7CD8" w:rsidRDefault="00717F21" w:rsidP="00717F21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proofErr w:type="spellStart"/>
      <w:r w:rsidRPr="00CA7CD8">
        <w:rPr>
          <w:rFonts w:eastAsia="Calibri"/>
          <w:b/>
          <w:sz w:val="22"/>
          <w:szCs w:val="22"/>
          <w:lang w:eastAsia="en-US"/>
        </w:rPr>
        <w:t>Нфр</w:t>
      </w:r>
      <w:proofErr w:type="spellEnd"/>
      <w:r w:rsidRPr="00CA7CD8">
        <w:rPr>
          <w:rFonts w:eastAsia="Calibri"/>
          <w:sz w:val="22"/>
          <w:szCs w:val="22"/>
          <w:lang w:eastAsia="en-US"/>
        </w:rPr>
        <w:t xml:space="preserve"> – номинативная функция речи</w:t>
      </w:r>
    </w:p>
    <w:p w:rsidR="00717F21" w:rsidRPr="00CA7CD8" w:rsidRDefault="00717F21" w:rsidP="00717F21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proofErr w:type="spellStart"/>
      <w:r w:rsidRPr="00CA7CD8">
        <w:rPr>
          <w:rFonts w:eastAsia="Calibri"/>
          <w:b/>
          <w:sz w:val="22"/>
          <w:szCs w:val="22"/>
          <w:lang w:eastAsia="en-US"/>
        </w:rPr>
        <w:t>Кфр</w:t>
      </w:r>
      <w:proofErr w:type="spellEnd"/>
      <w:r w:rsidRPr="00CA7CD8">
        <w:rPr>
          <w:rFonts w:eastAsia="Calibri"/>
          <w:sz w:val="22"/>
          <w:szCs w:val="22"/>
          <w:lang w:eastAsia="en-US"/>
        </w:rPr>
        <w:t xml:space="preserve"> – коммуникативная функция речи</w:t>
      </w:r>
    </w:p>
    <w:p w:rsidR="00717F21" w:rsidRPr="00CA7CD8" w:rsidRDefault="00717F21" w:rsidP="00717F21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proofErr w:type="spellStart"/>
      <w:r w:rsidRPr="00CA7CD8">
        <w:rPr>
          <w:rFonts w:eastAsia="Calibri"/>
          <w:b/>
          <w:sz w:val="22"/>
          <w:szCs w:val="22"/>
          <w:lang w:eastAsia="en-US"/>
        </w:rPr>
        <w:t>Зрп</w:t>
      </w:r>
      <w:proofErr w:type="spellEnd"/>
      <w:r w:rsidRPr="00CA7CD8">
        <w:rPr>
          <w:rFonts w:eastAsia="Calibri"/>
          <w:sz w:val="22"/>
          <w:szCs w:val="22"/>
          <w:lang w:eastAsia="en-US"/>
        </w:rPr>
        <w:t xml:space="preserve"> – кратковременная зрительная память</w:t>
      </w:r>
    </w:p>
    <w:p w:rsidR="00717F21" w:rsidRPr="00CA7CD8" w:rsidRDefault="00717F21" w:rsidP="00717F21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proofErr w:type="spellStart"/>
      <w:r w:rsidRPr="00CA7CD8">
        <w:rPr>
          <w:rFonts w:eastAsia="Calibri"/>
          <w:b/>
          <w:sz w:val="22"/>
          <w:szCs w:val="22"/>
          <w:lang w:eastAsia="en-US"/>
        </w:rPr>
        <w:t>Вф</w:t>
      </w:r>
      <w:proofErr w:type="spellEnd"/>
      <w:r w:rsidRPr="00CA7CD8">
        <w:rPr>
          <w:rFonts w:eastAsia="Calibri"/>
          <w:sz w:val="22"/>
          <w:szCs w:val="22"/>
          <w:lang w:eastAsia="en-US"/>
        </w:rPr>
        <w:t xml:space="preserve"> – вербальные функции</w:t>
      </w:r>
    </w:p>
    <w:p w:rsidR="00717F21" w:rsidRPr="00CA7CD8" w:rsidRDefault="00717F21" w:rsidP="00717F21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proofErr w:type="spellStart"/>
      <w:r w:rsidRPr="00CA7CD8">
        <w:rPr>
          <w:rFonts w:eastAsia="Calibri"/>
          <w:b/>
          <w:sz w:val="22"/>
          <w:szCs w:val="22"/>
          <w:lang w:eastAsia="en-US"/>
        </w:rPr>
        <w:t>Нв</w:t>
      </w:r>
      <w:proofErr w:type="gramStart"/>
      <w:r w:rsidRPr="00CA7CD8">
        <w:rPr>
          <w:rFonts w:eastAsia="Calibri"/>
          <w:b/>
          <w:sz w:val="22"/>
          <w:szCs w:val="22"/>
          <w:lang w:eastAsia="en-US"/>
        </w:rPr>
        <w:t>ф</w:t>
      </w:r>
      <w:proofErr w:type="spellEnd"/>
      <w:r w:rsidRPr="00CA7CD8">
        <w:rPr>
          <w:rFonts w:eastAsia="Calibri"/>
          <w:sz w:val="22"/>
          <w:szCs w:val="22"/>
          <w:lang w:eastAsia="en-US"/>
        </w:rPr>
        <w:t>–</w:t>
      </w:r>
      <w:proofErr w:type="gramEnd"/>
      <w:r w:rsidRPr="00CA7CD8">
        <w:rPr>
          <w:rFonts w:eastAsia="Calibri"/>
          <w:sz w:val="22"/>
          <w:szCs w:val="22"/>
          <w:lang w:eastAsia="en-US"/>
        </w:rPr>
        <w:t xml:space="preserve"> невербальные функции</w:t>
      </w:r>
    </w:p>
    <w:p w:rsidR="00717F21" w:rsidRPr="00CA7CD8" w:rsidRDefault="00717F21" w:rsidP="00717F21"/>
    <w:p w:rsidR="00717F21" w:rsidRPr="00CA7CD8" w:rsidRDefault="00717F21" w:rsidP="00717F21"/>
    <w:p w:rsidR="00717F21" w:rsidRPr="00CA7CD8" w:rsidRDefault="00717F21" w:rsidP="00717F21"/>
    <w:p w:rsidR="00717F21" w:rsidRPr="00CA7CD8" w:rsidRDefault="00717F21" w:rsidP="00717F21">
      <w:bookmarkStart w:id="0" w:name="_GoBack"/>
      <w:bookmarkEnd w:id="0"/>
    </w:p>
    <w:sectPr w:rsidR="00717F21" w:rsidRPr="00CA7CD8" w:rsidSect="002B1A1E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D75EF"/>
    <w:multiLevelType w:val="hybridMultilevel"/>
    <w:tmpl w:val="E93E6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6D4A51"/>
    <w:multiLevelType w:val="hybridMultilevel"/>
    <w:tmpl w:val="8EFCE86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7F21"/>
    <w:rsid w:val="002B1A1E"/>
    <w:rsid w:val="002F38B7"/>
    <w:rsid w:val="003B74C9"/>
    <w:rsid w:val="00412CD9"/>
    <w:rsid w:val="004D1147"/>
    <w:rsid w:val="00593FF3"/>
    <w:rsid w:val="00607F3B"/>
    <w:rsid w:val="006335BA"/>
    <w:rsid w:val="00717F21"/>
    <w:rsid w:val="007641C3"/>
    <w:rsid w:val="007C0180"/>
    <w:rsid w:val="00981427"/>
    <w:rsid w:val="00B1773C"/>
    <w:rsid w:val="00B57802"/>
    <w:rsid w:val="00B62BD8"/>
    <w:rsid w:val="00C21A31"/>
    <w:rsid w:val="00CA7CD8"/>
    <w:rsid w:val="00CF6E31"/>
    <w:rsid w:val="00D9025B"/>
    <w:rsid w:val="00DA6A56"/>
    <w:rsid w:val="00E90647"/>
    <w:rsid w:val="00ED7AFD"/>
    <w:rsid w:val="00F825A6"/>
    <w:rsid w:val="00F9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7F21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717F21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styleId="a5">
    <w:name w:val="Hyperlink"/>
    <w:rsid w:val="00717F2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17F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ru-RU"/>
            </a:pPr>
            <a:r>
              <a:rPr lang="ru-RU"/>
              <a:t>Нейропсихологический профиль,</a:t>
            </a:r>
            <a:r>
              <a:rPr lang="en-US"/>
              <a:t> </a:t>
            </a:r>
            <a:r>
              <a:rPr lang="ru-RU"/>
              <a:t>Цыганкова Аделина.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115647282145748"/>
          <c:y val="0.22071023622047345"/>
          <c:w val="0.86641122752218402"/>
          <c:h val="0.66145652846025826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Лист1!$A$2:$A$14</c:f>
              <c:strCache>
                <c:ptCount val="13"/>
                <c:pt idx="0">
                  <c:v>упрф</c:v>
                </c:pt>
                <c:pt idx="1">
                  <c:v>вним</c:v>
                </c:pt>
                <c:pt idx="2">
                  <c:v>пср</c:v>
                </c:pt>
                <c:pt idx="3">
                  <c:v>пракс</c:v>
                </c:pt>
                <c:pt idx="4">
                  <c:v>зр гн</c:v>
                </c:pt>
                <c:pt idx="5">
                  <c:v>сл гн</c:v>
                </c:pt>
                <c:pt idx="6">
                  <c:v>сфр</c:v>
                </c:pt>
                <c:pt idx="7">
                  <c:v>мфр</c:v>
                </c:pt>
                <c:pt idx="8">
                  <c:v>нфр</c:v>
                </c:pt>
                <c:pt idx="9">
                  <c:v>кфр</c:v>
                </c:pt>
                <c:pt idx="10">
                  <c:v>зр п</c:v>
                </c:pt>
                <c:pt idx="11">
                  <c:v>вф</c:v>
                </c:pt>
                <c:pt idx="12">
                  <c:v>нвф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4.5</c:v>
                </c:pt>
                <c:pt idx="1">
                  <c:v>4</c:v>
                </c:pt>
                <c:pt idx="2">
                  <c:v>5</c:v>
                </c:pt>
                <c:pt idx="3">
                  <c:v>3.5</c:v>
                </c:pt>
                <c:pt idx="4">
                  <c:v>5</c:v>
                </c:pt>
                <c:pt idx="5">
                  <c:v>4</c:v>
                </c:pt>
                <c:pt idx="6">
                  <c:v>4.5</c:v>
                </c:pt>
                <c:pt idx="7" formatCode="0.00">
                  <c:v>3.5</c:v>
                </c:pt>
                <c:pt idx="8">
                  <c:v>3.5</c:v>
                </c:pt>
                <c:pt idx="9">
                  <c:v>5</c:v>
                </c:pt>
                <c:pt idx="10">
                  <c:v>5</c:v>
                </c:pt>
                <c:pt idx="11">
                  <c:v>3.5</c:v>
                </c:pt>
                <c:pt idx="12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043008"/>
        <c:axId val="78044544"/>
      </c:lineChart>
      <c:catAx>
        <c:axId val="78043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ru-RU"/>
            </a:pPr>
            <a:endParaRPr lang="ru-RU"/>
          </a:p>
        </c:txPr>
        <c:crossAx val="78044544"/>
        <c:crosses val="autoZero"/>
        <c:auto val="1"/>
        <c:lblAlgn val="ctr"/>
        <c:lblOffset val="100"/>
        <c:noMultiLvlLbl val="0"/>
      </c:catAx>
      <c:valAx>
        <c:axId val="78044544"/>
        <c:scaling>
          <c:orientation val="minMax"/>
          <c:max val="5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lang="ru-RU"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Баллы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ru-RU"/>
            </a:pPr>
            <a:endParaRPr lang="ru-RU"/>
          </a:p>
        </c:txPr>
        <c:crossAx val="78043008"/>
        <c:crosses val="autoZero"/>
        <c:crossBetween val="between"/>
      </c:valAx>
    </c:plotArea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mwasser</dc:creator>
  <cp:lastModifiedBy>Лариса Кузнецова</cp:lastModifiedBy>
  <cp:revision>10</cp:revision>
  <dcterms:created xsi:type="dcterms:W3CDTF">2017-10-23T06:25:00Z</dcterms:created>
  <dcterms:modified xsi:type="dcterms:W3CDTF">2018-10-17T03:45:00Z</dcterms:modified>
</cp:coreProperties>
</file>