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C2" w:rsidRDefault="008A65C2" w:rsidP="008A65C2">
      <w:pPr>
        <w:pStyle w:val="Heading2"/>
        <w:tabs>
          <w:tab w:val="left" w:pos="1134"/>
        </w:tabs>
        <w:ind w:firstLine="709"/>
        <w:jc w:val="both"/>
      </w:pPr>
      <w:r>
        <w:t>Перечень вопросов к зачету</w:t>
      </w:r>
      <w:r w:rsidRPr="008A65C2">
        <w:t>/</w:t>
      </w:r>
      <w:r>
        <w:t>экзамену по дисциплине</w:t>
      </w:r>
    </w:p>
    <w:p w:rsidR="008A65C2" w:rsidRDefault="008A65C2" w:rsidP="008A65C2">
      <w:pPr>
        <w:pStyle w:val="Heading2"/>
        <w:tabs>
          <w:tab w:val="left" w:pos="1134"/>
        </w:tabs>
        <w:ind w:firstLine="709"/>
        <w:jc w:val="both"/>
      </w:pPr>
      <w:r>
        <w:t xml:space="preserve">«Практика </w:t>
      </w:r>
      <w:proofErr w:type="spellStart"/>
      <w:r>
        <w:t>фандрайзинга</w:t>
      </w:r>
      <w:proofErr w:type="spellEnd"/>
      <w:r>
        <w:t xml:space="preserve"> в социальной работе»</w:t>
      </w:r>
    </w:p>
    <w:p w:rsidR="008A65C2" w:rsidRPr="008A65C2" w:rsidRDefault="008A65C2" w:rsidP="008A65C2">
      <w:pPr>
        <w:pStyle w:val="Heading2"/>
        <w:tabs>
          <w:tab w:val="left" w:pos="1134"/>
        </w:tabs>
        <w:ind w:firstLine="709"/>
        <w:jc w:val="both"/>
      </w:pP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Благотворительная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фандрайзинг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благотворительности.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Типология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Фандрайзинг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фандрайзинговых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компаний.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Маркетинговый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Маркетинг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Целевая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Фандрайзинг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маркетинг.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Фандрайзинг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Маркетинг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маркетинг.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Выгодные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пожертвований.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Согласованность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пожертвования.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Регулярность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пожертвований.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Формы взаимодействия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жертвователями,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меценатами.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Фандрайзинг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краудсорсинга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краудфандинга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proofErr w:type="spellStart"/>
      <w:proofErr w:type="gramStart"/>
      <w:r>
        <w:rPr>
          <w:sz w:val="24"/>
        </w:rPr>
        <w:t>Интернет-технологии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фандрайзинге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Проектная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фандрайзинге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Социально-ориентированные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НКО: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цели деятельности.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Нормативно-правая</w:t>
      </w:r>
      <w:r>
        <w:rPr>
          <w:spacing w:val="-6"/>
          <w:sz w:val="24"/>
        </w:rPr>
        <w:t xml:space="preserve"> </w:t>
      </w:r>
      <w:r>
        <w:rPr>
          <w:sz w:val="24"/>
        </w:rPr>
        <w:t>база</w:t>
      </w:r>
      <w:r>
        <w:rPr>
          <w:spacing w:val="-6"/>
          <w:sz w:val="24"/>
        </w:rPr>
        <w:t xml:space="preserve"> </w:t>
      </w:r>
      <w:r>
        <w:rPr>
          <w:sz w:val="24"/>
        </w:rPr>
        <w:t>НКО.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НКО.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потребностей;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донорами.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19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20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2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 работе.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НКО.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нецелевое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пожертвований.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фандрайзинге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Инструменты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властью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26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Мотивация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пожертвования.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пожертвований.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пожертвований.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фандрайзинге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донорах 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фандрайзинге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доноров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фандрайзинге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Благотворительные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фонды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благотворительных фондов.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PR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фандрайзинговой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компании.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proofErr w:type="gramStart"/>
      <w:r>
        <w:rPr>
          <w:sz w:val="24"/>
        </w:rPr>
        <w:t>Деловые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пресс-мероприятия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аудитории.</w:t>
      </w:r>
      <w:proofErr w:type="gramEnd"/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пресс-мероприятий.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PR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фандрайзинге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z w:val="24"/>
        </w:rPr>
        <w:t>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проекте,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Составные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бизнес-плана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Презентация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грантовой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грантов.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грант.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фондами.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10"/>
          <w:sz w:val="24"/>
        </w:rPr>
        <w:t xml:space="preserve"> </w:t>
      </w:r>
      <w:r>
        <w:rPr>
          <w:sz w:val="24"/>
        </w:rPr>
        <w:t>так,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грант?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НКО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НКО.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Бюджет</w:t>
      </w:r>
      <w:r>
        <w:rPr>
          <w:spacing w:val="-3"/>
          <w:sz w:val="24"/>
        </w:rPr>
        <w:t xml:space="preserve"> </w:t>
      </w:r>
      <w:r>
        <w:rPr>
          <w:sz w:val="24"/>
        </w:rPr>
        <w:t>НКО: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сфере.</w:t>
      </w:r>
    </w:p>
    <w:p w:rsidR="008A65C2" w:rsidRDefault="008A65C2" w:rsidP="008A65C2">
      <w:pPr>
        <w:pStyle w:val="a3"/>
        <w:numPr>
          <w:ilvl w:val="0"/>
          <w:numId w:val="1"/>
        </w:numPr>
        <w:tabs>
          <w:tab w:val="left" w:pos="982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фандрайзинга</w:t>
      </w:r>
      <w:proofErr w:type="spellEnd"/>
      <w:r>
        <w:rPr>
          <w:sz w:val="24"/>
        </w:rPr>
        <w:t>.</w:t>
      </w:r>
    </w:p>
    <w:p w:rsidR="00395797" w:rsidRDefault="00395797" w:rsidP="008A65C2">
      <w:pPr>
        <w:tabs>
          <w:tab w:val="left" w:pos="1134"/>
        </w:tabs>
        <w:ind w:firstLine="709"/>
        <w:jc w:val="both"/>
      </w:pPr>
    </w:p>
    <w:sectPr w:rsidR="00395797" w:rsidSect="008A65C2">
      <w:pgSz w:w="11910" w:h="16840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73C3B"/>
    <w:multiLevelType w:val="hybridMultilevel"/>
    <w:tmpl w:val="B74C5E48"/>
    <w:lvl w:ilvl="0" w:tplc="46E8B95A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1" w:tplc="8662049A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C162705C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FDD80D12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CA6C3986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A86E244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EF16AFBA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EF94BCD6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DDEA12DE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65C2"/>
    <w:rsid w:val="00395797"/>
    <w:rsid w:val="00561BAF"/>
    <w:rsid w:val="008A65C2"/>
    <w:rsid w:val="00D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5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uiPriority w:val="1"/>
    <w:qFormat/>
    <w:rsid w:val="008A65C2"/>
    <w:pPr>
      <w:outlineLvl w:val="2"/>
    </w:pPr>
    <w:rPr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8A65C2"/>
    <w:pPr>
      <w:ind w:left="982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2974</Characters>
  <Application>Microsoft Office Word</Application>
  <DocSecurity>0</DocSecurity>
  <Lines>24</Lines>
  <Paragraphs>6</Paragraphs>
  <ScaleCrop>false</ScaleCrop>
  <Company>WolfishLair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2021-06-16T11:22:00Z</dcterms:created>
  <dcterms:modified xsi:type="dcterms:W3CDTF">2021-06-16T11:25:00Z</dcterms:modified>
</cp:coreProperties>
</file>